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56" w:rsidRPr="004660B1" w:rsidRDefault="00CD6777" w:rsidP="008F51D3">
      <w:pPr>
        <w:bidi/>
        <w:spacing w:line="240" w:lineRule="auto"/>
        <w:ind w:firstLine="0"/>
        <w:jc w:val="center"/>
        <w:rPr>
          <w:rFonts w:ascii="Tahoma" w:eastAsia="Times New Roman" w:hAnsi="Tahoma" w:cs="B Titr"/>
          <w:b/>
          <w:bCs/>
          <w:color w:val="auto"/>
          <w:sz w:val="28"/>
          <w:rtl/>
        </w:rPr>
      </w:pPr>
      <w:r w:rsidRPr="004660B1">
        <w:rPr>
          <w:rFonts w:ascii="Tahoma" w:eastAsia="Times New Roman" w:hAnsi="Tahoma" w:cs="B Titr" w:hint="cs"/>
          <w:b/>
          <w:bCs/>
          <w:color w:val="auto"/>
          <w:sz w:val="28"/>
          <w:rtl/>
        </w:rPr>
        <w:t>مصوبات ال</w:t>
      </w:r>
      <w:r w:rsidR="00140B88" w:rsidRPr="004660B1">
        <w:rPr>
          <w:rFonts w:ascii="Tahoma" w:eastAsia="Times New Roman" w:hAnsi="Tahoma" w:cs="B Titr" w:hint="cs"/>
          <w:b/>
          <w:bCs/>
          <w:color w:val="auto"/>
          <w:sz w:val="28"/>
          <w:rtl/>
        </w:rPr>
        <w:t>ح</w:t>
      </w:r>
      <w:r w:rsidRPr="004660B1">
        <w:rPr>
          <w:rFonts w:ascii="Tahoma" w:eastAsia="Times New Roman" w:hAnsi="Tahoma" w:cs="B Titr" w:hint="cs"/>
          <w:b/>
          <w:bCs/>
          <w:color w:val="auto"/>
          <w:sz w:val="28"/>
          <w:rtl/>
        </w:rPr>
        <w:t>اقی دستورالعمل</w:t>
      </w:r>
      <w:r w:rsidR="00E97A53" w:rsidRPr="004660B1">
        <w:rPr>
          <w:rFonts w:ascii="Tahoma" w:eastAsia="Times New Roman" w:hAnsi="Tahoma" w:cs="B Titr"/>
          <w:b/>
          <w:bCs/>
          <w:color w:val="auto"/>
          <w:sz w:val="28"/>
          <w:rtl/>
        </w:rPr>
        <w:t>‌ اجرايي‌ آيين</w:t>
      </w:r>
      <w:r w:rsidR="00336456" w:rsidRPr="004660B1">
        <w:rPr>
          <w:rFonts w:ascii="Tahoma" w:eastAsia="Times New Roman" w:hAnsi="Tahoma" w:cs="B Titr" w:hint="cs"/>
          <w:b/>
          <w:bCs/>
          <w:color w:val="auto"/>
          <w:sz w:val="28"/>
          <w:rtl/>
        </w:rPr>
        <w:t>‌</w:t>
      </w:r>
      <w:r w:rsidR="00E97A53" w:rsidRPr="004660B1">
        <w:rPr>
          <w:rFonts w:ascii="Tahoma" w:eastAsia="Times New Roman" w:hAnsi="Tahoma" w:cs="B Titr"/>
          <w:b/>
          <w:bCs/>
          <w:color w:val="auto"/>
          <w:sz w:val="28"/>
          <w:rtl/>
        </w:rPr>
        <w:t>نام</w:t>
      </w:r>
      <w:r w:rsidR="00140B88" w:rsidRPr="004660B1">
        <w:rPr>
          <w:rFonts w:ascii="Tahoma" w:eastAsia="Times New Roman" w:hAnsi="Tahoma" w:cs="B Titr" w:hint="cs"/>
          <w:b/>
          <w:bCs/>
          <w:color w:val="auto"/>
          <w:sz w:val="28"/>
          <w:rtl/>
        </w:rPr>
        <w:t>ه‌ی</w:t>
      </w:r>
      <w:r w:rsidR="00E97A53" w:rsidRPr="004660B1">
        <w:rPr>
          <w:rFonts w:ascii="Tahoma" w:eastAsia="Times New Roman" w:hAnsi="Tahoma" w:cs="B Titr"/>
          <w:b/>
          <w:bCs/>
          <w:color w:val="auto"/>
          <w:sz w:val="28"/>
          <w:rtl/>
        </w:rPr>
        <w:t xml:space="preserve">‌ خدمت‌ </w:t>
      </w:r>
      <w:r w:rsidR="00336456" w:rsidRPr="004660B1">
        <w:rPr>
          <w:rFonts w:ascii="Tahoma" w:eastAsia="Times New Roman" w:hAnsi="Tahoma" w:cs="B Titr"/>
          <w:b/>
          <w:bCs/>
          <w:color w:val="auto"/>
          <w:sz w:val="28"/>
          <w:rtl/>
        </w:rPr>
        <w:t xml:space="preserve">موظف‌ </w:t>
      </w:r>
    </w:p>
    <w:p w:rsidR="00336456" w:rsidRPr="004660B1" w:rsidRDefault="00336456" w:rsidP="00912D31">
      <w:pPr>
        <w:bidi/>
        <w:spacing w:line="240" w:lineRule="auto"/>
        <w:ind w:firstLine="0"/>
        <w:jc w:val="center"/>
        <w:rPr>
          <w:rFonts w:ascii="Tahoma" w:eastAsia="Times New Roman" w:hAnsi="Tahoma" w:cs="B Titr"/>
          <w:b/>
          <w:bCs/>
          <w:color w:val="auto"/>
          <w:sz w:val="28"/>
        </w:rPr>
      </w:pPr>
      <w:r w:rsidRPr="004660B1">
        <w:rPr>
          <w:rFonts w:ascii="Tahoma" w:eastAsia="Times New Roman" w:hAnsi="Tahoma" w:cs="B Titr"/>
          <w:b/>
          <w:bCs/>
          <w:color w:val="auto"/>
          <w:sz w:val="28"/>
          <w:rtl/>
        </w:rPr>
        <w:t>و اعطاي‌ ترفيع‌ اعضاي‌ هي</w:t>
      </w:r>
      <w:r w:rsidRPr="004660B1">
        <w:rPr>
          <w:rFonts w:ascii="Tahoma" w:eastAsia="Times New Roman" w:hAnsi="Tahoma" w:cs="B Titr" w:hint="cs"/>
          <w:b/>
          <w:bCs/>
          <w:color w:val="auto"/>
          <w:sz w:val="28"/>
          <w:rtl/>
        </w:rPr>
        <w:t>أ</w:t>
      </w:r>
      <w:r w:rsidR="00E97A53" w:rsidRPr="004660B1">
        <w:rPr>
          <w:rFonts w:ascii="Tahoma" w:eastAsia="Times New Roman" w:hAnsi="Tahoma" w:cs="B Titr"/>
          <w:b/>
          <w:bCs/>
          <w:color w:val="auto"/>
          <w:sz w:val="28"/>
          <w:rtl/>
        </w:rPr>
        <w:t>ت‌ علمي‌ آموزشي‌ و پژوهشي</w:t>
      </w:r>
      <w:r w:rsidRPr="004660B1">
        <w:rPr>
          <w:rFonts w:ascii="Tahoma" w:eastAsia="Times New Roman" w:hAnsi="Tahoma" w:cs="B Titr" w:hint="cs"/>
          <w:b/>
          <w:bCs/>
          <w:color w:val="auto"/>
          <w:sz w:val="28"/>
          <w:rtl/>
        </w:rPr>
        <w:t xml:space="preserve"> </w:t>
      </w:r>
    </w:p>
    <w:p w:rsidR="000F4BE2" w:rsidRPr="004660B1" w:rsidRDefault="000F4BE2" w:rsidP="00912D31">
      <w:pPr>
        <w:bidi/>
        <w:spacing w:line="240" w:lineRule="auto"/>
        <w:ind w:firstLine="0"/>
        <w:jc w:val="center"/>
        <w:rPr>
          <w:rFonts w:ascii="Tahoma" w:eastAsia="Times New Roman" w:hAnsi="Tahoma" w:cs="B Nazanin"/>
          <w:b/>
          <w:bCs/>
          <w:color w:val="auto"/>
          <w:sz w:val="28"/>
          <w:rtl/>
        </w:rPr>
      </w:pPr>
    </w:p>
    <w:p w:rsidR="004857CE" w:rsidRPr="008F51D3" w:rsidRDefault="004857CE" w:rsidP="00E05D3F">
      <w:pPr>
        <w:bidi/>
        <w:spacing w:line="240" w:lineRule="auto"/>
        <w:ind w:firstLine="0"/>
        <w:rPr>
          <w:rFonts w:ascii="Tahoma" w:eastAsia="Times New Roman" w:hAnsi="Tahoma" w:cs="B Nazanin"/>
          <w:color w:val="auto"/>
          <w:sz w:val="27"/>
          <w:szCs w:val="27"/>
          <w:rtl/>
        </w:rPr>
      </w:pPr>
      <w:r w:rsidRPr="008F51D3">
        <w:rPr>
          <w:rFonts w:ascii="Tahoma" w:eastAsia="Times New Roman" w:hAnsi="Tahoma" w:cs="B Nazanin"/>
          <w:color w:val="auto"/>
          <w:sz w:val="27"/>
          <w:szCs w:val="27"/>
          <w:rtl/>
        </w:rPr>
        <w:t xml:space="preserve">به‌ منظور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اعتلای سطح</w:t>
      </w:r>
      <w:r w:rsidRPr="008F51D3">
        <w:rPr>
          <w:rFonts w:ascii="Tahoma" w:eastAsia="Times New Roman" w:hAnsi="Tahoma" w:cs="B Nazanin"/>
          <w:color w:val="auto"/>
          <w:sz w:val="27"/>
          <w:szCs w:val="27"/>
          <w:rtl/>
        </w:rPr>
        <w:t>‌ فعاليت</w:t>
      </w:r>
      <w:r w:rsidR="00D100F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‌</w:t>
      </w:r>
      <w:r w:rsidRPr="008F51D3">
        <w:rPr>
          <w:rFonts w:ascii="Tahoma" w:eastAsia="Times New Roman" w:hAnsi="Tahoma" w:cs="B Nazanin"/>
          <w:color w:val="auto"/>
          <w:sz w:val="27"/>
          <w:szCs w:val="27"/>
          <w:rtl/>
        </w:rPr>
        <w:t>‌هاي‌ آموزشي‌ و پژوهشي‌ اعضاي‌ هي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أ</w:t>
      </w:r>
      <w:r w:rsidRPr="008F51D3">
        <w:rPr>
          <w:rFonts w:ascii="Tahoma" w:eastAsia="Times New Roman" w:hAnsi="Tahoma" w:cs="B Nazanin"/>
          <w:color w:val="auto"/>
          <w:sz w:val="27"/>
          <w:szCs w:val="27"/>
          <w:rtl/>
        </w:rPr>
        <w:t xml:space="preserve">ت‌ علمي‌ و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در راستای تحقق اهداف عالیه</w:t>
      </w:r>
      <w:r w:rsidR="00D100F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‌ی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‌دانشگاه، مصوبات ذیل </w:t>
      </w:r>
      <w:r w:rsidR="00306511">
        <w:rPr>
          <w:rFonts w:ascii="Tahoma" w:eastAsia="Times New Roman" w:hAnsi="Tahoma" w:cs="B Nazanin" w:hint="cs"/>
          <w:color w:val="auto"/>
          <w:sz w:val="27"/>
          <w:szCs w:val="27"/>
          <w:rtl/>
        </w:rPr>
        <w:t>بر اساس آئین</w:t>
      </w:r>
      <w:r w:rsidR="00E05D3F">
        <w:rPr>
          <w:rFonts w:ascii="Tahoma" w:eastAsia="Times New Roman" w:hAnsi="Tahoma" w:cs="B Nazanin" w:hint="cs"/>
          <w:color w:val="auto"/>
          <w:sz w:val="27"/>
          <w:szCs w:val="27"/>
          <w:rtl/>
        </w:rPr>
        <w:t>‌</w:t>
      </w:r>
      <w:r w:rsidR="00306511">
        <w:rPr>
          <w:rFonts w:ascii="Tahoma" w:eastAsia="Times New Roman" w:hAnsi="Tahoma" w:cs="B Nazanin" w:hint="cs"/>
          <w:color w:val="auto"/>
          <w:sz w:val="27"/>
          <w:szCs w:val="27"/>
          <w:rtl/>
        </w:rPr>
        <w:t>نامه</w:t>
      </w:r>
      <w:r w:rsidR="00E05D3F">
        <w:rPr>
          <w:rFonts w:ascii="Tahoma" w:eastAsia="Times New Roman" w:hAnsi="Tahoma" w:cs="B Nazanin" w:hint="cs"/>
          <w:color w:val="auto"/>
          <w:sz w:val="27"/>
          <w:szCs w:val="27"/>
          <w:rtl/>
        </w:rPr>
        <w:t>‌ی</w:t>
      </w:r>
      <w:r w:rsidR="00306511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جدید ارتقاء مصوب جلسه</w:t>
      </w:r>
      <w:r w:rsidR="00E05D3F">
        <w:rPr>
          <w:rFonts w:ascii="Tahoma" w:eastAsia="Times New Roman" w:hAnsi="Tahoma" w:cs="B Nazanin" w:hint="cs"/>
          <w:color w:val="auto"/>
          <w:sz w:val="27"/>
          <w:szCs w:val="27"/>
          <w:rtl/>
        </w:rPr>
        <w:t>‌ی</w:t>
      </w:r>
      <w:r w:rsidR="00306511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مورخ 18/12/1394 شورای عالی انقلاب فرهنگی </w:t>
      </w:r>
      <w:r w:rsidR="00347AF5">
        <w:rPr>
          <w:rFonts w:ascii="Tahoma" w:eastAsia="Times New Roman" w:hAnsi="Tahoma" w:cs="B Nazanin" w:hint="cs"/>
          <w:color w:val="auto"/>
          <w:sz w:val="27"/>
          <w:szCs w:val="27"/>
          <w:rtl/>
        </w:rPr>
        <w:t>(و با رعایت مواد و تبصره</w:t>
      </w:r>
      <w:r w:rsidR="00E05D3F">
        <w:rPr>
          <w:rFonts w:ascii="Tahoma" w:eastAsia="Times New Roman" w:hAnsi="Tahoma" w:cs="B Nazanin" w:hint="cs"/>
          <w:color w:val="auto"/>
          <w:sz w:val="27"/>
          <w:szCs w:val="27"/>
          <w:rtl/>
        </w:rPr>
        <w:t>‌</w:t>
      </w:r>
      <w:r w:rsidR="00347AF5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های مربوط) </w:t>
      </w:r>
      <w:r w:rsidR="00306511">
        <w:rPr>
          <w:rFonts w:ascii="Tahoma" w:eastAsia="Times New Roman" w:hAnsi="Tahoma" w:cs="B Nazanin" w:hint="cs"/>
          <w:color w:val="auto"/>
          <w:sz w:val="27"/>
          <w:szCs w:val="27"/>
          <w:rtl/>
        </w:rPr>
        <w:t>که طی نامه</w:t>
      </w:r>
      <w:r w:rsidR="00E05D3F">
        <w:rPr>
          <w:rFonts w:ascii="Tahoma" w:eastAsia="Times New Roman" w:hAnsi="Tahoma" w:cs="B Nazanin" w:hint="cs"/>
          <w:color w:val="auto"/>
          <w:sz w:val="27"/>
          <w:szCs w:val="27"/>
          <w:rtl/>
        </w:rPr>
        <w:t>‌ی</w:t>
      </w:r>
      <w:r w:rsidR="00306511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شماره</w:t>
      </w:r>
      <w:r w:rsidR="00E05D3F">
        <w:rPr>
          <w:rFonts w:ascii="Tahoma" w:eastAsia="Times New Roman" w:hAnsi="Tahoma" w:cs="B Nazanin" w:hint="cs"/>
          <w:color w:val="auto"/>
          <w:sz w:val="27"/>
          <w:szCs w:val="27"/>
          <w:rtl/>
        </w:rPr>
        <w:t>‌ی</w:t>
      </w:r>
      <w:r w:rsidR="00306511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97455/ و مورخ 11/05/1395 به کلیه</w:t>
      </w:r>
      <w:r w:rsidR="00E05D3F">
        <w:rPr>
          <w:rFonts w:ascii="Tahoma" w:eastAsia="Times New Roman" w:hAnsi="Tahoma" w:cs="B Nazanin" w:hint="cs"/>
          <w:color w:val="auto"/>
          <w:sz w:val="27"/>
          <w:szCs w:val="27"/>
          <w:rtl/>
        </w:rPr>
        <w:t>‌ی</w:t>
      </w:r>
      <w:r w:rsidR="00306511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دانشگاه</w:t>
      </w:r>
      <w:r w:rsidR="00E05D3F">
        <w:rPr>
          <w:rFonts w:ascii="Tahoma" w:eastAsia="Times New Roman" w:hAnsi="Tahoma" w:cs="B Nazanin" w:hint="cs"/>
          <w:color w:val="auto"/>
          <w:sz w:val="27"/>
          <w:szCs w:val="27"/>
          <w:rtl/>
        </w:rPr>
        <w:t>‌</w:t>
      </w:r>
      <w:r w:rsidR="00306511">
        <w:rPr>
          <w:rFonts w:ascii="Tahoma" w:eastAsia="Times New Roman" w:hAnsi="Tahoma" w:cs="B Nazanin" w:hint="cs"/>
          <w:color w:val="auto"/>
          <w:sz w:val="27"/>
          <w:szCs w:val="27"/>
          <w:rtl/>
        </w:rPr>
        <w:t>ها و م</w:t>
      </w:r>
      <w:r w:rsidR="00E05D3F">
        <w:rPr>
          <w:rFonts w:ascii="Tahoma" w:eastAsia="Times New Roman" w:hAnsi="Tahoma" w:cs="B Nazanin" w:hint="cs"/>
          <w:color w:val="auto"/>
          <w:sz w:val="27"/>
          <w:szCs w:val="27"/>
          <w:rtl/>
        </w:rPr>
        <w:t>ؤ</w:t>
      </w:r>
      <w:r w:rsidR="00306511">
        <w:rPr>
          <w:rFonts w:ascii="Tahoma" w:eastAsia="Times New Roman" w:hAnsi="Tahoma" w:cs="B Nazanin" w:hint="cs"/>
          <w:color w:val="auto"/>
          <w:sz w:val="27"/>
          <w:szCs w:val="27"/>
          <w:rtl/>
        </w:rPr>
        <w:t>سسات آموزش عالی برای اجرا ابلاغ شده است</w:t>
      </w:r>
      <w:r w:rsidR="00E05D3F">
        <w:rPr>
          <w:rFonts w:ascii="Tahoma" w:eastAsia="Times New Roman" w:hAnsi="Tahoma" w:cs="B Nazanin" w:hint="cs"/>
          <w:color w:val="auto"/>
          <w:sz w:val="27"/>
          <w:szCs w:val="27"/>
          <w:rtl/>
        </w:rPr>
        <w:t>،</w:t>
      </w:r>
      <w:r w:rsidR="005F7191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به</w:t>
      </w:r>
      <w:r w:rsidRPr="008F51D3">
        <w:rPr>
          <w:rFonts w:ascii="Tahoma" w:eastAsia="Times New Roman" w:hAnsi="Tahoma" w:cs="B Nazanin"/>
          <w:color w:val="auto"/>
          <w:sz w:val="27"/>
          <w:szCs w:val="27"/>
          <w:rtl/>
        </w:rPr>
        <w:t xml:space="preserve">‌ دستورالعمل‌ اجرايي‌ </w:t>
      </w:r>
      <w:r w:rsidR="007D086E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آیین‌نامه</w:t>
      </w:r>
      <w:r w:rsidR="00E05D3F">
        <w:rPr>
          <w:rFonts w:ascii="Tahoma" w:eastAsia="Times New Roman" w:hAnsi="Tahoma" w:cs="B Nazanin" w:hint="cs"/>
          <w:color w:val="auto"/>
          <w:sz w:val="27"/>
          <w:szCs w:val="27"/>
          <w:rtl/>
        </w:rPr>
        <w:t>‌ی</w:t>
      </w:r>
      <w:r w:rsidR="007D086E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خدمت موظف و اعطای ترفیع اعضای هی</w:t>
      </w:r>
      <w:r w:rsidR="00E05D3F">
        <w:rPr>
          <w:rFonts w:ascii="Tahoma" w:eastAsia="Times New Roman" w:hAnsi="Tahoma" w:cs="B Nazanin" w:hint="cs"/>
          <w:color w:val="auto"/>
          <w:sz w:val="27"/>
          <w:szCs w:val="27"/>
          <w:rtl/>
        </w:rPr>
        <w:t>أ</w:t>
      </w:r>
      <w:r w:rsidR="007D086E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ت علمی آموزشی و پژوهشی که در تاریخ 3/12/1377 به تصویب وزیر محترم علوم، تحقیقات و فناوری رسیده است، الحاق می‌شود.</w:t>
      </w:r>
      <w:r w:rsidR="008F51D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اعضای هیأت</w:t>
      </w:r>
      <w:r w:rsidR="00E05D3F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‌علمی با کسب امتیازات لازم به شرح زیر با رعایت تبصره‌های مربوط از یک</w:t>
      </w:r>
      <w:r w:rsidR="00053786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پایه ترفیع سالیانه برخوردار می‌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گردند.</w:t>
      </w:r>
    </w:p>
    <w:p w:rsidR="001E5E33" w:rsidRPr="008F51D3" w:rsidRDefault="00053786" w:rsidP="000772EE">
      <w:pPr>
        <w:bidi/>
        <w:spacing w:line="240" w:lineRule="auto"/>
        <w:ind w:firstLine="0"/>
        <w:rPr>
          <w:rFonts w:ascii="Tahoma" w:eastAsia="Times New Roman" w:hAnsi="Tahoma" w:cs="B Nazanin"/>
          <w:b/>
          <w:bCs/>
          <w:color w:val="auto"/>
          <w:sz w:val="28"/>
          <w:rtl/>
          <w:lang w:bidi="fa-IR"/>
        </w:rPr>
      </w:pPr>
      <w:r w:rsidRPr="008F51D3">
        <w:rPr>
          <w:rFonts w:ascii="Tahoma" w:eastAsia="Times New Roman" w:hAnsi="Tahoma" w:cs="B Nazanin" w:hint="cs"/>
          <w:b/>
          <w:bCs/>
          <w:color w:val="auto"/>
          <w:sz w:val="28"/>
          <w:rtl/>
          <w:lang w:bidi="fa-IR"/>
        </w:rPr>
        <w:t>ماده1</w:t>
      </w:r>
      <w:r w:rsidR="001E5E33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  <w:lang w:bidi="fa-IR"/>
        </w:rPr>
        <w:t>)</w:t>
      </w:r>
      <w:r w:rsidR="00483E1F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  <w:lang w:bidi="fa-IR"/>
        </w:rPr>
        <w:t xml:space="preserve"> </w:t>
      </w:r>
      <w:r w:rsidR="001E5E33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  <w:lang w:bidi="fa-IR"/>
        </w:rPr>
        <w:t>تدریس موظف و حضور اعضای هی</w:t>
      </w:r>
      <w:r w:rsidR="000772EE">
        <w:rPr>
          <w:rFonts w:ascii="Tahoma" w:eastAsia="Times New Roman" w:hAnsi="Tahoma" w:cs="B Nazanin" w:hint="cs"/>
          <w:b/>
          <w:bCs/>
          <w:color w:val="auto"/>
          <w:sz w:val="28"/>
          <w:rtl/>
          <w:lang w:bidi="fa-IR"/>
        </w:rPr>
        <w:t>أ</w:t>
      </w:r>
      <w:r w:rsidR="001E5E33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  <w:lang w:bidi="fa-IR"/>
        </w:rPr>
        <w:t>ت علمی</w:t>
      </w:r>
      <w:r w:rsidR="008F51D3">
        <w:rPr>
          <w:rFonts w:ascii="Tahoma" w:eastAsia="Times New Roman" w:hAnsi="Tahoma" w:cs="B Nazanin" w:hint="cs"/>
          <w:b/>
          <w:bCs/>
          <w:color w:val="auto"/>
          <w:sz w:val="28"/>
          <w:rtl/>
          <w:lang w:bidi="fa-IR"/>
        </w:rPr>
        <w:t>:</w:t>
      </w:r>
    </w:p>
    <w:p w:rsidR="001E5E33" w:rsidRPr="008F51D3" w:rsidRDefault="001E5E33" w:rsidP="000772EE">
      <w:pPr>
        <w:pStyle w:val="ListParagraph"/>
        <w:numPr>
          <w:ilvl w:val="1"/>
          <w:numId w:val="8"/>
        </w:numPr>
        <w:bidi/>
        <w:spacing w:line="276" w:lineRule="auto"/>
        <w:ind w:left="996" w:hanging="425"/>
        <w:rPr>
          <w:rFonts w:ascii="Tahoma" w:eastAsia="Times New Roman" w:hAnsi="Tahoma" w:cs="B Nazanin"/>
          <w:color w:val="auto"/>
          <w:sz w:val="27"/>
          <w:szCs w:val="27"/>
          <w:rtl/>
          <w:lang w:bidi="fa-IR"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موظف تدریس اعضای هی</w:t>
      </w:r>
      <w:r w:rsidR="000772EE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أ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ت علمی به شرح ذیل</w:t>
      </w:r>
      <w:r w:rsid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‌</w:t>
      </w:r>
      <w:r w:rsidR="00483E1F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می‌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باشد:</w:t>
      </w:r>
    </w:p>
    <w:p w:rsidR="001E5E33" w:rsidRPr="008F51D3" w:rsidRDefault="001E5E33" w:rsidP="000772EE">
      <w:pPr>
        <w:pStyle w:val="ListParagraph"/>
        <w:numPr>
          <w:ilvl w:val="2"/>
          <w:numId w:val="8"/>
        </w:numPr>
        <w:tabs>
          <w:tab w:val="right" w:pos="1563"/>
        </w:tabs>
        <w:bidi/>
        <w:spacing w:line="240" w:lineRule="auto"/>
        <w:ind w:left="1280" w:hanging="284"/>
        <w:rPr>
          <w:rFonts w:ascii="Tahoma" w:eastAsia="Times New Roman" w:hAnsi="Tahoma" w:cs="B Nazanin"/>
          <w:color w:val="auto"/>
          <w:sz w:val="27"/>
          <w:szCs w:val="27"/>
          <w:lang w:bidi="fa-IR"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عضو </w:t>
      </w:r>
      <w:r w:rsidR="000772EE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هی</w:t>
      </w:r>
      <w:r w:rsidR="000772EE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أ</w:t>
      </w:r>
      <w:r w:rsidR="000772EE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ت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علمی با مرتبه‌ی مربی آموزشی 12 واحد</w:t>
      </w:r>
    </w:p>
    <w:p w:rsidR="001E5E33" w:rsidRPr="008F51D3" w:rsidRDefault="001E5E33" w:rsidP="000772EE">
      <w:pPr>
        <w:pStyle w:val="ListParagraph"/>
        <w:numPr>
          <w:ilvl w:val="2"/>
          <w:numId w:val="8"/>
        </w:numPr>
        <w:tabs>
          <w:tab w:val="right" w:pos="1563"/>
        </w:tabs>
        <w:bidi/>
        <w:spacing w:line="240" w:lineRule="auto"/>
        <w:ind w:left="1280" w:hanging="284"/>
        <w:rPr>
          <w:rFonts w:ascii="Tahoma" w:eastAsia="Times New Roman" w:hAnsi="Tahoma" w:cs="B Nazanin"/>
          <w:color w:val="auto"/>
          <w:sz w:val="27"/>
          <w:szCs w:val="27"/>
          <w:lang w:bidi="fa-IR"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عضو </w:t>
      </w:r>
      <w:r w:rsidR="000772EE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هی</w:t>
      </w:r>
      <w:r w:rsidR="000772EE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أ</w:t>
      </w:r>
      <w:r w:rsidR="000772EE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ت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علمی با مرتبه‌ی استادیاری 10 واحد</w:t>
      </w:r>
    </w:p>
    <w:p w:rsidR="001E5E33" w:rsidRPr="008F51D3" w:rsidRDefault="001E5E33" w:rsidP="000772EE">
      <w:pPr>
        <w:pStyle w:val="ListParagraph"/>
        <w:numPr>
          <w:ilvl w:val="2"/>
          <w:numId w:val="8"/>
        </w:numPr>
        <w:tabs>
          <w:tab w:val="right" w:pos="1563"/>
        </w:tabs>
        <w:bidi/>
        <w:spacing w:line="240" w:lineRule="auto"/>
        <w:ind w:left="1280" w:hanging="284"/>
        <w:rPr>
          <w:rFonts w:ascii="Tahoma" w:eastAsia="Times New Roman" w:hAnsi="Tahoma" w:cs="B Nazanin"/>
          <w:color w:val="auto"/>
          <w:sz w:val="27"/>
          <w:szCs w:val="27"/>
          <w:lang w:bidi="fa-IR"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عضو </w:t>
      </w:r>
      <w:r w:rsidR="000772EE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هی</w:t>
      </w:r>
      <w:r w:rsidR="000772EE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أ</w:t>
      </w:r>
      <w:r w:rsidR="000772EE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ت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علمی با مرتبه‌ی دانشیاری 9 واحد</w:t>
      </w:r>
    </w:p>
    <w:p w:rsidR="001E5E33" w:rsidRDefault="001E5E33" w:rsidP="000772EE">
      <w:pPr>
        <w:pStyle w:val="ListParagraph"/>
        <w:numPr>
          <w:ilvl w:val="2"/>
          <w:numId w:val="8"/>
        </w:numPr>
        <w:tabs>
          <w:tab w:val="right" w:pos="1563"/>
        </w:tabs>
        <w:bidi/>
        <w:spacing w:line="240" w:lineRule="auto"/>
        <w:ind w:left="1280" w:hanging="284"/>
        <w:rPr>
          <w:rFonts w:ascii="Tahoma" w:eastAsia="Times New Roman" w:hAnsi="Tahoma" w:cs="B Nazanin"/>
          <w:color w:val="auto"/>
          <w:sz w:val="27"/>
          <w:szCs w:val="27"/>
          <w:lang w:bidi="fa-IR"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عضو </w:t>
      </w:r>
      <w:r w:rsidR="000772EE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هی</w:t>
      </w:r>
      <w:r w:rsidR="000772EE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أ</w:t>
      </w:r>
      <w:r w:rsidR="000772EE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ت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علمی با مرتبه‌ی استادی 8 واحد</w:t>
      </w:r>
    </w:p>
    <w:p w:rsidR="00306511" w:rsidRPr="008F51D3" w:rsidRDefault="00306511" w:rsidP="001F444D">
      <w:pPr>
        <w:pStyle w:val="ListParagraph"/>
        <w:numPr>
          <w:ilvl w:val="2"/>
          <w:numId w:val="8"/>
        </w:numPr>
        <w:tabs>
          <w:tab w:val="right" w:pos="1563"/>
        </w:tabs>
        <w:bidi/>
        <w:spacing w:line="240" w:lineRule="auto"/>
        <w:ind w:left="1280" w:hanging="284"/>
        <w:rPr>
          <w:rFonts w:ascii="Tahoma" w:eastAsia="Times New Roman" w:hAnsi="Tahoma" w:cs="B Nazanin"/>
          <w:color w:val="auto"/>
          <w:sz w:val="27"/>
          <w:szCs w:val="27"/>
          <w:lang w:bidi="fa-IR"/>
        </w:rPr>
      </w:pPr>
      <w:r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میزان موظف تدریس اعضای م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أ</w:t>
      </w:r>
      <w:r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مور براساس آئین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‌</w:t>
      </w:r>
      <w:r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نامه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‌ی</w:t>
      </w:r>
      <w:r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استخدامی اعضای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‌</w:t>
      </w:r>
      <w:r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هی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أ</w:t>
      </w:r>
      <w:r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ت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‌ </w:t>
      </w:r>
      <w:r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علمی و مصوبات داخلی دانشگاه و یا از سوی </w:t>
      </w:r>
      <w:r w:rsidR="005F7191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مقامات ذی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‌</w:t>
      </w:r>
      <w:r w:rsidR="005F7191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صلاح در وزارت علوم</w:t>
      </w:r>
      <w:r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،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</w:t>
      </w:r>
      <w:r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تحقیقات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‌</w:t>
      </w:r>
      <w:r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و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‌</w:t>
      </w:r>
      <w:r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فناوری تعیین می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‌</w:t>
      </w:r>
      <w:r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شود.</w:t>
      </w:r>
    </w:p>
    <w:p w:rsidR="001E5E33" w:rsidRPr="008F51D3" w:rsidRDefault="001E5E33" w:rsidP="001F444D">
      <w:pPr>
        <w:pStyle w:val="ListParagraph"/>
        <w:numPr>
          <w:ilvl w:val="1"/>
          <w:numId w:val="8"/>
        </w:numPr>
        <w:bidi/>
        <w:spacing w:line="240" w:lineRule="auto"/>
        <w:ind w:left="996" w:hanging="425"/>
        <w:rPr>
          <w:rFonts w:ascii="Tahoma" w:eastAsia="Times New Roman" w:hAnsi="Tahoma" w:cs="B Nazanin"/>
          <w:color w:val="auto"/>
          <w:sz w:val="27"/>
          <w:szCs w:val="27"/>
          <w:lang w:bidi="fa-IR"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موظف اعضای هی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أ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ت علمی پژوهشی در دانشگاه به نحوی صورت می‌پذیرد که میانگین محصول تحقیقا</w:t>
      </w:r>
      <w:r w:rsidR="00483E1F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ت عضو در یک سال علاوه بر ارائه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‌ی</w:t>
      </w:r>
      <w:r w:rsidR="00483E1F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‌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یک مقاله‌ی علمی پژوهشی پذیرش شده، 150 تا</w:t>
      </w:r>
      <w:r w:rsidR="00F6329C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200</w:t>
      </w:r>
      <w:r w:rsidR="00F6329C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صفحه تألیف یا 200 تا 250 صفحه ترجمه و یا ارائه‌ی یک طرح پژوهشی کاربردی ‌باشد. نحوه‌ی ارائ</w:t>
      </w:r>
      <w:r w:rsidR="007D0383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ه‌ی تحقیقات بر حسب ماهیت موضوع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توسط شورای پژوهشی</w:t>
      </w:r>
      <w:r w:rsidR="003F5017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دانشگاه تعیین و ابلاغ می‌گردد.</w:t>
      </w:r>
    </w:p>
    <w:p w:rsidR="001E5E33" w:rsidRPr="008F51D3" w:rsidRDefault="007D086E" w:rsidP="001F444D">
      <w:pPr>
        <w:pStyle w:val="ListParagraph"/>
        <w:numPr>
          <w:ilvl w:val="1"/>
          <w:numId w:val="8"/>
        </w:numPr>
        <w:bidi/>
        <w:spacing w:line="240" w:lineRule="auto"/>
        <w:ind w:left="996" w:hanging="425"/>
        <w:rPr>
          <w:rFonts w:ascii="Tahoma" w:eastAsia="Times New Roman" w:hAnsi="Tahoma" w:cs="B Nazanin"/>
          <w:color w:val="auto"/>
          <w:sz w:val="27"/>
          <w:szCs w:val="27"/>
          <w:rtl/>
          <w:lang w:bidi="fa-IR"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ساعت موظ</w:t>
      </w:r>
      <w:r w:rsidR="00053786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ف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حضور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اعضای هی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أ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ت علمی 40 ساعت در هفته است.</w:t>
      </w:r>
    </w:p>
    <w:p w:rsidR="00F514AB" w:rsidRPr="008F51D3" w:rsidRDefault="007D0383" w:rsidP="001F444D">
      <w:pPr>
        <w:bidi/>
        <w:spacing w:line="240" w:lineRule="auto"/>
        <w:ind w:left="571" w:firstLine="4"/>
        <w:rPr>
          <w:rFonts w:ascii="Tahoma" w:eastAsia="Times New Roman" w:hAnsi="Tahoma" w:cs="B Nazanin"/>
          <w:color w:val="auto"/>
          <w:sz w:val="27"/>
          <w:szCs w:val="27"/>
          <w:rtl/>
          <w:lang w:bidi="fa-IR"/>
        </w:rPr>
      </w:pPr>
      <w:r w:rsidRPr="008F51D3">
        <w:rPr>
          <w:rFonts w:ascii="Tahoma" w:eastAsia="Times New Roman" w:hAnsi="Tahoma" w:cs="B Nazanin" w:hint="cs"/>
          <w:b/>
          <w:bCs/>
          <w:color w:val="auto"/>
          <w:sz w:val="27"/>
          <w:szCs w:val="27"/>
          <w:rtl/>
          <w:lang w:bidi="fa-IR"/>
        </w:rPr>
        <w:t>تبصره</w:t>
      </w:r>
      <w:r w:rsidR="008F51D3" w:rsidRPr="008F51D3">
        <w:rPr>
          <w:rFonts w:ascii="Tahoma" w:eastAsia="Times New Roman" w:hAnsi="Tahoma" w:cs="B Nazanin" w:hint="cs"/>
          <w:b/>
          <w:bCs/>
          <w:color w:val="auto"/>
          <w:sz w:val="27"/>
          <w:szCs w:val="27"/>
          <w:rtl/>
          <w:lang w:bidi="fa-IR"/>
        </w:rPr>
        <w:t xml:space="preserve"> 1</w:t>
      </w:r>
      <w:r w:rsidRPr="008F51D3">
        <w:rPr>
          <w:rFonts w:ascii="Tahoma" w:eastAsia="Times New Roman" w:hAnsi="Tahoma" w:cs="B Nazanin" w:hint="cs"/>
          <w:b/>
          <w:bCs/>
          <w:color w:val="auto"/>
          <w:sz w:val="27"/>
          <w:szCs w:val="27"/>
          <w:rtl/>
          <w:lang w:bidi="fa-IR"/>
        </w:rPr>
        <w:t>: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طب</w:t>
      </w:r>
      <w:r w:rsidR="00F514AB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ق صورت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‌</w:t>
      </w:r>
      <w:r w:rsidR="00F514AB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جلسه‌ی شماره 421 شورای </w:t>
      </w:r>
      <w:r w:rsidR="00053786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آموزشی دانشگاه مورخ</w:t>
      </w:r>
      <w:r w:rsidR="003F5017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</w:t>
      </w:r>
      <w:r w:rsidR="00053786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3/7/89 برای </w:t>
      </w:r>
      <w:r w:rsidR="00F514AB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ساعات حضور </w:t>
      </w:r>
      <w:r w:rsidR="007D086E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اعضای هی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أ</w:t>
      </w:r>
      <w:r w:rsidR="007D086E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ت علمی رعایت حداقل</w:t>
      </w:r>
      <w:r w:rsidR="00F514AB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 30 ساعت در هف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ته تعیین شده است</w:t>
      </w:r>
      <w:r w:rsidR="00F514AB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. </w:t>
      </w:r>
      <w:r w:rsidR="00CB340C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 xml:space="preserve">که این 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میزان کسر حضور برای انجام فعالیت‌ها</w:t>
      </w:r>
      <w:r w:rsidR="00CB340C">
        <w:rPr>
          <w:rFonts w:ascii="Tahoma" w:eastAsia="Times New Roman" w:hAnsi="Tahoma" w:cs="B Nazanin" w:hint="cs"/>
          <w:color w:val="auto"/>
          <w:sz w:val="27"/>
          <w:szCs w:val="27"/>
          <w:rtl/>
          <w:lang w:bidi="fa-IR"/>
        </w:rPr>
        <w:t>ی پژوهشی خارج از دانشگاه است.</w:t>
      </w:r>
    </w:p>
    <w:p w:rsidR="00CE218D" w:rsidRPr="008F51D3" w:rsidRDefault="00053786" w:rsidP="00912D31">
      <w:pPr>
        <w:bidi/>
        <w:spacing w:line="240" w:lineRule="auto"/>
        <w:ind w:firstLine="0"/>
        <w:rPr>
          <w:rFonts w:ascii="Tahoma" w:eastAsia="Times New Roman" w:hAnsi="Tahoma" w:cs="B Nazanin"/>
          <w:b/>
          <w:bCs/>
          <w:color w:val="auto"/>
          <w:sz w:val="28"/>
          <w:rtl/>
          <w:lang w:bidi="fa-IR"/>
        </w:rPr>
      </w:pPr>
      <w:r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ماده2</w:t>
      </w:r>
      <w:r w:rsidR="00F514AB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 xml:space="preserve">) </w:t>
      </w:r>
      <w:r w:rsidR="00AB76AD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می</w:t>
      </w:r>
      <w:r w:rsid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زان کسر از موظف حضور در دانشکده/</w:t>
      </w:r>
      <w:r w:rsidR="00AB76AD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پژوهشکده</w:t>
      </w:r>
      <w:r w:rsid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:</w:t>
      </w:r>
    </w:p>
    <w:p w:rsidR="00354EBB" w:rsidRPr="008F51D3" w:rsidRDefault="00354EBB" w:rsidP="008F51D3">
      <w:pPr>
        <w:bidi/>
        <w:spacing w:line="240" w:lineRule="auto"/>
        <w:ind w:left="571" w:firstLine="0"/>
        <w:rPr>
          <w:rFonts w:ascii="Tahoma" w:eastAsia="Times New Roman" w:hAnsi="Tahoma" w:cs="B Nazanin"/>
          <w:color w:val="auto"/>
          <w:sz w:val="27"/>
          <w:szCs w:val="27"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اعضای تمام وقت آموزشی که طرح‌های پژوهشی ارزنده در دست اجرا دارند و باید وقت بیشتری را صرف امور پژوهشی نمایند، مشروط به اینکه ساعات موظف تدریس خود را انجام داده باشند، می‌توانند براساس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lastRenderedPageBreak/>
        <w:t>دستورال</w:t>
      </w:r>
      <w:r w:rsidR="00356188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عملی که با پیشنهاد معاونت پژوهشی دانشگاه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در شورای </w:t>
      </w:r>
      <w:r w:rsidR="00356188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دانشگاه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تصویب می‌شود، قسمتی از ساعات </w:t>
      </w:r>
      <w:r w:rsidR="00356188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حضور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را صرف امور پژوهشی نمایند.</w:t>
      </w:r>
    </w:p>
    <w:p w:rsidR="00E93958" w:rsidRPr="008F51D3" w:rsidRDefault="00053786" w:rsidP="00912D31">
      <w:pPr>
        <w:bidi/>
        <w:spacing w:line="240" w:lineRule="auto"/>
        <w:ind w:firstLine="0"/>
        <w:rPr>
          <w:rFonts w:ascii="Tahoma" w:eastAsia="Times New Roman" w:hAnsi="Tahoma" w:cs="B Nazanin"/>
          <w:b/>
          <w:bCs/>
          <w:color w:val="auto"/>
          <w:sz w:val="28"/>
          <w:rtl/>
        </w:rPr>
      </w:pPr>
      <w:r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ماده3</w:t>
      </w:r>
      <w:r w:rsidR="00F514AB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 xml:space="preserve">) </w:t>
      </w:r>
      <w:r w:rsidR="00CB3E2F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امتیاز</w:t>
      </w:r>
      <w:r w:rsidR="00466B43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  <w:lang w:bidi="fa-IR"/>
        </w:rPr>
        <w:t>فعالیت</w:t>
      </w:r>
      <w:r w:rsidR="00906DCC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  <w:lang w:bidi="fa-IR"/>
        </w:rPr>
        <w:t>‌</w:t>
      </w:r>
      <w:r w:rsidR="00466B43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  <w:lang w:bidi="fa-IR"/>
        </w:rPr>
        <w:t>های</w:t>
      </w:r>
      <w:r w:rsidR="00D540F6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 xml:space="preserve"> آموزشی</w:t>
      </w:r>
      <w:r w:rsidR="00207BDB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:</w:t>
      </w:r>
    </w:p>
    <w:p w:rsidR="007D0383" w:rsidRPr="008F51D3" w:rsidRDefault="00483E1F" w:rsidP="00AB2424">
      <w:pPr>
        <w:pStyle w:val="ListParagraph"/>
        <w:numPr>
          <w:ilvl w:val="1"/>
          <w:numId w:val="19"/>
        </w:numPr>
        <w:tabs>
          <w:tab w:val="left" w:pos="1422"/>
        </w:tabs>
        <w:bidi/>
        <w:spacing w:line="240" w:lineRule="auto"/>
        <w:ind w:left="996" w:hanging="425"/>
        <w:rPr>
          <w:rFonts w:ascii="Tahoma" w:eastAsia="Times New Roman" w:hAnsi="Tahoma" w:cs="B Nazanin"/>
          <w:color w:val="auto"/>
          <w:sz w:val="27"/>
          <w:szCs w:val="27"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7D038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امتیاز کیفیت تدریس برای هر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7D038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ترم حداقل 1</w:t>
      </w:r>
      <w:r w:rsidR="00AB2424">
        <w:rPr>
          <w:rFonts w:ascii="Tahoma" w:eastAsia="Times New Roman" w:hAnsi="Tahoma" w:cs="B Nazanin" w:hint="cs"/>
          <w:color w:val="auto"/>
          <w:sz w:val="27"/>
          <w:szCs w:val="27"/>
          <w:rtl/>
        </w:rPr>
        <w:t>5</w:t>
      </w:r>
      <w:r w:rsidR="007D038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و حداکثر 20 می</w:t>
      </w:r>
      <w:r w:rsidR="007D0383" w:rsidRPr="008F51D3">
        <w:rPr>
          <w:rFonts w:ascii="Tahoma" w:eastAsia="Times New Roman" w:hAnsi="Tahoma" w:cs="B Nazanin" w:hint="cs"/>
          <w:color w:val="auto"/>
          <w:sz w:val="27"/>
          <w:szCs w:val="27"/>
          <w:rtl/>
          <w:cs/>
          <w:lang w:bidi="fa-IR"/>
        </w:rPr>
        <w:t>‎</w:t>
      </w:r>
      <w:r w:rsidR="007D038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باشد.</w:t>
      </w:r>
    </w:p>
    <w:p w:rsidR="007D0383" w:rsidRPr="008F51D3" w:rsidRDefault="007D0383" w:rsidP="00483E1F">
      <w:pPr>
        <w:pStyle w:val="ListParagraph"/>
        <w:numPr>
          <w:ilvl w:val="1"/>
          <w:numId w:val="19"/>
        </w:numPr>
        <w:tabs>
          <w:tab w:val="left" w:pos="1422"/>
        </w:tabs>
        <w:bidi/>
        <w:spacing w:line="240" w:lineRule="auto"/>
        <w:ind w:left="996" w:hanging="425"/>
        <w:rPr>
          <w:rFonts w:ascii="Tahoma" w:eastAsia="Times New Roman" w:hAnsi="Tahoma" w:cs="B Nazanin"/>
          <w:color w:val="auto"/>
          <w:sz w:val="27"/>
          <w:szCs w:val="27"/>
          <w:rtl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اعضای محترم هیأت علمی‌ باید گزارش ثبت</w:t>
      </w:r>
      <w:r w:rsidR="007D086E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نهایی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نمرات مربوط به دو </w:t>
      </w:r>
      <w:r w:rsidR="007D086E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نیمسال تحصیلی ترفیع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مورد نظر خود را از طریق سیستم سماء دریافت و به همراه کلیه‌ی مدارک به گروه تحویل نمایند.</w:t>
      </w:r>
    </w:p>
    <w:p w:rsidR="003E0682" w:rsidRPr="008F51D3" w:rsidRDefault="00053786" w:rsidP="00912D31">
      <w:pPr>
        <w:bidi/>
        <w:spacing w:line="240" w:lineRule="auto"/>
        <w:ind w:firstLine="0"/>
        <w:rPr>
          <w:rFonts w:ascii="Tahoma" w:eastAsia="Times New Roman" w:hAnsi="Tahoma" w:cs="B Nazanin"/>
          <w:color w:val="auto"/>
          <w:sz w:val="28"/>
          <w:rtl/>
        </w:rPr>
      </w:pPr>
      <w:r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ماده4</w:t>
      </w:r>
      <w:r w:rsidR="00775ED2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)</w:t>
      </w:r>
      <w:r w:rsidR="00AE2EA9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 xml:space="preserve"> </w:t>
      </w:r>
      <w:r w:rsidR="00B50229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 xml:space="preserve">امتیاز </w:t>
      </w:r>
      <w:r w:rsidR="00466B43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فعالیت</w:t>
      </w:r>
      <w:r w:rsidR="00892897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‌</w:t>
      </w:r>
      <w:r w:rsidR="00466B43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های پژوهشی</w:t>
      </w:r>
      <w:r w:rsidR="00207BDB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:</w:t>
      </w:r>
    </w:p>
    <w:p w:rsidR="00466B43" w:rsidRPr="008F51D3" w:rsidRDefault="00492C16" w:rsidP="005F7191">
      <w:pPr>
        <w:pStyle w:val="ListParagraph"/>
        <w:numPr>
          <w:ilvl w:val="1"/>
          <w:numId w:val="20"/>
        </w:numPr>
        <w:bidi/>
        <w:spacing w:line="240" w:lineRule="auto"/>
        <w:ind w:left="996" w:hanging="425"/>
        <w:rPr>
          <w:rFonts w:ascii="Tahoma" w:eastAsia="Times New Roman" w:hAnsi="Tahoma" w:cs="B Nazanin"/>
          <w:b/>
          <w:bCs/>
          <w:color w:val="auto"/>
          <w:sz w:val="27"/>
          <w:szCs w:val="27"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برای اعضای هیأت علمی آموزشی</w:t>
      </w:r>
      <w:r w:rsidR="00B50229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و پژوهشی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به ترتیب کسب حد</w:t>
      </w:r>
      <w:r w:rsidR="000443FD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قل 2 امتیاز برای مربی</w:t>
      </w:r>
      <w:r w:rsidR="0066625D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ان</w:t>
      </w:r>
      <w:r w:rsidR="00C82AD0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و حداقل 4 امتياز براي استادياران و مراتب بالاتر </w:t>
      </w:r>
      <w:r w:rsidR="000443FD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از ماده</w:t>
      </w:r>
      <w:r w:rsidR="001F444D">
        <w:rPr>
          <w:rFonts w:ascii="Tahoma" w:eastAsia="Times New Roman" w:hAnsi="Tahoma" w:cs="B Nazanin" w:hint="cs"/>
          <w:color w:val="auto"/>
          <w:sz w:val="27"/>
          <w:szCs w:val="27"/>
          <w:rtl/>
        </w:rPr>
        <w:t>‌ی</w:t>
      </w:r>
      <w:r w:rsidR="00B50229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پژوهشی</w:t>
      </w:r>
      <w:r w:rsidR="00C82AD0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5F7191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برای ترفیع سالانه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ضروری </w:t>
      </w:r>
      <w:r w:rsidR="00B50229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است</w:t>
      </w:r>
      <w:r w:rsidR="00466B4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. </w:t>
      </w:r>
    </w:p>
    <w:p w:rsidR="00661087" w:rsidRPr="008F51D3" w:rsidRDefault="003629B3" w:rsidP="003F5017">
      <w:pPr>
        <w:pStyle w:val="ListParagraph"/>
        <w:numPr>
          <w:ilvl w:val="1"/>
          <w:numId w:val="20"/>
        </w:numPr>
        <w:bidi/>
        <w:spacing w:line="240" w:lineRule="auto"/>
        <w:ind w:left="996" w:hanging="425"/>
        <w:rPr>
          <w:rFonts w:ascii="Tahoma" w:eastAsia="Times New Roman" w:hAnsi="Tahoma" w:cs="B Nazanin"/>
          <w:color w:val="auto"/>
          <w:sz w:val="27"/>
          <w:szCs w:val="27"/>
          <w:rtl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ذخیره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‌ی</w:t>
      </w:r>
      <w:r w:rsidR="007E16DF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‌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امتیازات ترفیع در هر</w:t>
      </w:r>
      <w:r w:rsidR="000B6671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سال</w:t>
      </w:r>
      <w:r w:rsidR="004F4C2D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فقط شامل امتیازات </w:t>
      </w:r>
      <w:r w:rsidR="00443F4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فعالیت‌</w:t>
      </w:r>
      <w:r w:rsidR="00573FF8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های پژوهشی</w:t>
      </w:r>
      <w:r w:rsidR="00C82AD0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573FF8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و فناور</w:t>
      </w:r>
      <w:r w:rsidR="001A39E9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ی‌‌‌</w:t>
      </w:r>
      <w:r w:rsidR="00A87F3C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(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به 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استثنا</w:t>
      </w:r>
      <w:r w:rsidR="00C82AD0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ء </w:t>
      </w:r>
      <w:r w:rsidR="00FF2285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امتیاز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پایان</w:t>
      </w:r>
      <w:r w:rsidR="007E16DF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‌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نامه</w:t>
      </w:r>
      <w:r w:rsidR="001E19A9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و رساله</w:t>
      </w:r>
      <w:r w:rsidR="00A87F3C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)</w:t>
      </w:r>
      <w:r w:rsidR="00C82AD0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186A6B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می‌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ش</w:t>
      </w:r>
      <w:r w:rsidR="003F5017">
        <w:rPr>
          <w:rFonts w:ascii="Tahoma" w:eastAsia="Times New Roman" w:hAnsi="Tahoma" w:cs="B Nazanin" w:hint="cs"/>
          <w:color w:val="auto"/>
          <w:sz w:val="27"/>
          <w:szCs w:val="27"/>
          <w:rtl/>
        </w:rPr>
        <w:t>و</w:t>
      </w:r>
      <w:r w:rsidR="00186A6B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د</w:t>
      </w:r>
      <w:r w:rsidR="00FF2285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.</w:t>
      </w:r>
    </w:p>
    <w:p w:rsidR="004A565C" w:rsidRPr="008F51D3" w:rsidRDefault="004A565C" w:rsidP="00483E1F">
      <w:pPr>
        <w:pStyle w:val="ListParagraph"/>
        <w:numPr>
          <w:ilvl w:val="1"/>
          <w:numId w:val="20"/>
        </w:numPr>
        <w:bidi/>
        <w:spacing w:line="240" w:lineRule="auto"/>
        <w:ind w:left="996" w:hanging="425"/>
        <w:rPr>
          <w:rFonts w:ascii="Tahoma" w:eastAsia="Times New Roman" w:hAnsi="Tahoma" w:cs="B Nazanin"/>
          <w:color w:val="auto"/>
          <w:sz w:val="27"/>
          <w:szCs w:val="27"/>
          <w:rtl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امتیازات پژوهشی مازاد بر</w:t>
      </w:r>
      <w:r w:rsidR="001E19A9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امتیاز مورد نیاز برای ترفیع سالانه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‌ی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اعضای هی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أ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ت علمی قابل ذخیره برای سال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‌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های</w:t>
      </w:r>
      <w:r w:rsidR="00EC335C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آتی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است </w:t>
      </w:r>
      <w:r w:rsidR="003A7FCE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و از امتیاز آن </w:t>
      </w:r>
      <w:r w:rsidR="00FC40F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تنها </w:t>
      </w:r>
      <w:r w:rsidR="003A7FCE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طی دو سال متوالی می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‌</w:t>
      </w:r>
      <w:r w:rsidR="003A7FCE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توانند بهره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‌</w:t>
      </w:r>
      <w:r w:rsidR="003A7FCE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مند 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شو</w:t>
      </w:r>
      <w:r w:rsidR="003A7FCE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ند.</w:t>
      </w:r>
    </w:p>
    <w:p w:rsidR="00FC40F3" w:rsidRDefault="002E417C" w:rsidP="00F948D6">
      <w:pPr>
        <w:pStyle w:val="ListParagraph"/>
        <w:numPr>
          <w:ilvl w:val="1"/>
          <w:numId w:val="20"/>
        </w:numPr>
        <w:bidi/>
        <w:spacing w:line="240" w:lineRule="auto"/>
        <w:ind w:left="996" w:hanging="425"/>
        <w:rPr>
          <w:rFonts w:ascii="Tahoma" w:eastAsia="Times New Roman" w:hAnsi="Tahoma" w:cs="B Nazanin"/>
          <w:color w:val="auto"/>
          <w:sz w:val="27"/>
          <w:szCs w:val="27"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چنانچه عضو هیأ</w:t>
      </w:r>
      <w:r w:rsidR="00FC40F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ت علمی نتواند برنامه</w:t>
      </w:r>
      <w:r w:rsidR="000B6671">
        <w:rPr>
          <w:rFonts w:ascii="Tahoma" w:eastAsia="Times New Roman" w:hAnsi="Tahoma" w:cs="B Nazanin" w:hint="cs"/>
          <w:color w:val="auto"/>
          <w:sz w:val="27"/>
          <w:szCs w:val="27"/>
          <w:rtl/>
        </w:rPr>
        <w:t>‌ی</w:t>
      </w:r>
      <w:r w:rsidR="00FC40F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پژوهشی اعلامی سالانه</w:t>
      </w:r>
      <w:r w:rsidR="000B6671">
        <w:rPr>
          <w:rFonts w:ascii="Tahoma" w:eastAsia="Times New Roman" w:hAnsi="Tahoma" w:cs="B Nazanin" w:hint="cs"/>
          <w:color w:val="auto"/>
          <w:sz w:val="27"/>
          <w:szCs w:val="27"/>
          <w:rtl/>
        </w:rPr>
        <w:t>‌ی</w:t>
      </w:r>
      <w:r w:rsidR="00FC40F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معاونت پژوهشی را طی 3 سال متوالی اجرا کند</w:t>
      </w:r>
      <w:r w:rsidR="000B6671">
        <w:rPr>
          <w:rFonts w:ascii="Tahoma" w:eastAsia="Times New Roman" w:hAnsi="Tahoma" w:cs="B Nazanin" w:hint="cs"/>
          <w:color w:val="auto"/>
          <w:sz w:val="27"/>
          <w:szCs w:val="27"/>
          <w:rtl/>
        </w:rPr>
        <w:t>،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در</w:t>
      </w:r>
      <w:r w:rsidR="007D038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F52626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هر</w:t>
      </w:r>
      <w:r w:rsidR="007D038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F52626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سال تذکر پژوهشی دریافت نموده و </w:t>
      </w:r>
      <w:r w:rsidR="00F948D6">
        <w:rPr>
          <w:rFonts w:ascii="Tahoma" w:eastAsia="Times New Roman" w:hAnsi="Tahoma" w:cs="B Nazanin" w:hint="cs"/>
          <w:color w:val="auto"/>
          <w:sz w:val="27"/>
          <w:szCs w:val="27"/>
          <w:rtl/>
        </w:rPr>
        <w:t>اعطای</w:t>
      </w:r>
      <w:r w:rsidR="00347AF5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F52626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پایه</w:t>
      </w:r>
      <w:r w:rsidR="00053786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سال سوم </w:t>
      </w:r>
      <w:r w:rsidR="00347AF5">
        <w:rPr>
          <w:rFonts w:ascii="Tahoma" w:eastAsia="Times New Roman" w:hAnsi="Tahoma" w:cs="B Nazanin" w:hint="cs"/>
          <w:color w:val="auto"/>
          <w:sz w:val="27"/>
          <w:szCs w:val="27"/>
          <w:rtl/>
        </w:rPr>
        <w:t>منوط به موافقت معاونت پژوهشی دانشگاه است.</w:t>
      </w:r>
      <w:r w:rsidR="00F52626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</w:p>
    <w:p w:rsidR="00A84FF1" w:rsidRDefault="00A84FF1" w:rsidP="00A84FF1">
      <w:pPr>
        <w:pStyle w:val="ListParagraph"/>
        <w:bidi/>
        <w:spacing w:line="240" w:lineRule="auto"/>
        <w:ind w:left="996" w:firstLine="0"/>
        <w:rPr>
          <w:rFonts w:ascii="Tahoma" w:eastAsia="Times New Roman" w:hAnsi="Tahoma" w:cs="B Nazanin"/>
          <w:color w:val="auto"/>
          <w:sz w:val="27"/>
          <w:szCs w:val="27"/>
        </w:rPr>
      </w:pPr>
    </w:p>
    <w:p w:rsidR="00A84FF1" w:rsidRPr="00A84FF1" w:rsidRDefault="00A84FF1" w:rsidP="00A84FF1">
      <w:pPr>
        <w:pStyle w:val="ListParagraph"/>
        <w:bidi/>
        <w:spacing w:line="240" w:lineRule="auto"/>
        <w:ind w:left="0" w:firstLine="0"/>
        <w:rPr>
          <w:rFonts w:ascii="Tahoma" w:eastAsia="Times New Roman" w:hAnsi="Tahoma" w:cs="B Nazanin"/>
          <w:b/>
          <w:bCs/>
          <w:color w:val="auto"/>
          <w:sz w:val="27"/>
          <w:szCs w:val="27"/>
        </w:rPr>
      </w:pPr>
      <w:r w:rsidRPr="00A84FF1">
        <w:rPr>
          <w:rFonts w:ascii="Tahoma" w:eastAsia="Times New Roman" w:hAnsi="Tahoma" w:cs="B Nazanin" w:hint="cs"/>
          <w:b/>
          <w:bCs/>
          <w:color w:val="auto"/>
          <w:sz w:val="27"/>
          <w:szCs w:val="27"/>
          <w:rtl/>
        </w:rPr>
        <w:t>امتیاز مقالات بر اساس جدول زیر محاسبه می شود.</w:t>
      </w:r>
    </w:p>
    <w:p w:rsidR="00AA0E91" w:rsidRPr="00AA0E91" w:rsidRDefault="00AA0E91" w:rsidP="00AA0E91">
      <w:pPr>
        <w:bidi/>
        <w:spacing w:line="240" w:lineRule="auto"/>
        <w:rPr>
          <w:rFonts w:ascii="Tahoma" w:eastAsia="Times New Roman" w:hAnsi="Tahoma" w:cs="B Nazanin"/>
          <w:color w:val="auto"/>
          <w:sz w:val="27"/>
          <w:szCs w:val="27"/>
        </w:rPr>
      </w:pPr>
    </w:p>
    <w:tbl>
      <w:tblPr>
        <w:tblStyle w:val="TableGrid"/>
        <w:bidiVisual/>
        <w:tblW w:w="9356" w:type="dxa"/>
        <w:tblInd w:w="254" w:type="dxa"/>
        <w:tblLook w:val="04A0" w:firstRow="1" w:lastRow="0" w:firstColumn="1" w:lastColumn="0" w:noHBand="0" w:noVBand="1"/>
      </w:tblPr>
      <w:tblGrid>
        <w:gridCol w:w="992"/>
        <w:gridCol w:w="6946"/>
        <w:gridCol w:w="1418"/>
      </w:tblGrid>
      <w:tr w:rsidR="005678DB" w:rsidTr="006A0C05">
        <w:trPr>
          <w:trHeight w:val="741"/>
        </w:trPr>
        <w:tc>
          <w:tcPr>
            <w:tcW w:w="992" w:type="dxa"/>
          </w:tcPr>
          <w:p w:rsidR="005678DB" w:rsidRDefault="005678DB" w:rsidP="00685755">
            <w:pPr>
              <w:bidi/>
              <w:ind w:firstLine="0"/>
              <w:jc w:val="center"/>
              <w:rPr>
                <w:rFonts w:ascii="Tahoma" w:eastAsia="Times New Roman" w:hAnsi="Tahoma" w:cs="B Nazanin"/>
                <w:color w:val="auto"/>
                <w:sz w:val="27"/>
                <w:szCs w:val="27"/>
                <w:rtl/>
              </w:rPr>
            </w:pPr>
            <w:r>
              <w:rPr>
                <w:rFonts w:ascii="Tahoma" w:eastAsia="Times New Roman" w:hAnsi="Tahoma" w:cs="B Nazanin" w:hint="cs"/>
                <w:color w:val="auto"/>
                <w:sz w:val="27"/>
                <w:szCs w:val="27"/>
                <w:rtl/>
              </w:rPr>
              <w:t>ردیف</w:t>
            </w:r>
          </w:p>
        </w:tc>
        <w:tc>
          <w:tcPr>
            <w:tcW w:w="6946" w:type="dxa"/>
          </w:tcPr>
          <w:p w:rsidR="005678DB" w:rsidRPr="00AA0E91" w:rsidRDefault="005678DB" w:rsidP="006A0C05">
            <w:pPr>
              <w:bidi/>
              <w:spacing w:before="240"/>
              <w:ind w:firstLine="0"/>
              <w:jc w:val="center"/>
              <w:rPr>
                <w:rFonts w:cs="B Mitra"/>
                <w:color w:val="auto"/>
                <w:sz w:val="24"/>
                <w:szCs w:val="24"/>
                <w:rtl/>
              </w:rPr>
            </w:pPr>
            <w:r>
              <w:rPr>
                <w:rFonts w:cs="B Mitra" w:hint="cs"/>
                <w:color w:val="auto"/>
                <w:rtl/>
              </w:rPr>
              <w:t xml:space="preserve">بند های 3-1 و 3-2 از ماده 3 به شرح ذیل </w:t>
            </w:r>
            <w:r w:rsidRPr="0007032E">
              <w:rPr>
                <w:rFonts w:cs="B Mitra" w:hint="cs"/>
                <w:color w:val="auto"/>
                <w:rtl/>
              </w:rPr>
              <w:t xml:space="preserve">اصلاح </w:t>
            </w:r>
            <w:r>
              <w:rPr>
                <w:rFonts w:cs="B Mitra" w:hint="cs"/>
                <w:color w:val="auto"/>
                <w:rtl/>
              </w:rPr>
              <w:t>می شود</w:t>
            </w:r>
          </w:p>
        </w:tc>
        <w:tc>
          <w:tcPr>
            <w:tcW w:w="1418" w:type="dxa"/>
          </w:tcPr>
          <w:p w:rsidR="005678DB" w:rsidRPr="00DF1A2B" w:rsidRDefault="005678DB" w:rsidP="00DF1A2B">
            <w:pPr>
              <w:bidi/>
              <w:ind w:firstLine="0"/>
              <w:jc w:val="center"/>
              <w:rPr>
                <w:rFonts w:ascii="Tahoma" w:eastAsia="Times New Roman" w:hAnsi="Tahoma" w:cs="B Mitra"/>
                <w:color w:val="auto"/>
                <w:sz w:val="20"/>
                <w:szCs w:val="20"/>
                <w:rtl/>
              </w:rPr>
            </w:pPr>
            <w:r w:rsidRPr="00DF1A2B">
              <w:rPr>
                <w:rFonts w:ascii="Tahoma" w:eastAsia="Times New Roman" w:hAnsi="Tahoma" w:cs="B Mitra" w:hint="cs"/>
                <w:color w:val="auto"/>
                <w:sz w:val="20"/>
                <w:szCs w:val="20"/>
                <w:rtl/>
              </w:rPr>
              <w:t>حداکثر امتیاز در واحد کار یا نیم سال</w:t>
            </w:r>
          </w:p>
        </w:tc>
      </w:tr>
      <w:tr w:rsidR="005678DB" w:rsidTr="001B1669">
        <w:trPr>
          <w:trHeight w:val="695"/>
        </w:trPr>
        <w:tc>
          <w:tcPr>
            <w:tcW w:w="992" w:type="dxa"/>
          </w:tcPr>
          <w:p w:rsidR="005678DB" w:rsidRPr="00685755" w:rsidRDefault="005678DB" w:rsidP="00685755">
            <w:pPr>
              <w:bidi/>
              <w:ind w:firstLine="0"/>
              <w:jc w:val="center"/>
              <w:rPr>
                <w:rFonts w:ascii="Tahoma" w:eastAsia="Times New Roman" w:hAnsi="Tahoma" w:cs="B Mitra"/>
                <w:color w:val="auto"/>
                <w:sz w:val="27"/>
                <w:szCs w:val="27"/>
                <w:rtl/>
              </w:rPr>
            </w:pPr>
            <w:r w:rsidRPr="00685755">
              <w:rPr>
                <w:rFonts w:ascii="Tahoma" w:eastAsia="Times New Roman" w:hAnsi="Tahoma" w:cs="B Mitra" w:hint="cs"/>
                <w:color w:val="auto"/>
                <w:sz w:val="27"/>
                <w:szCs w:val="27"/>
                <w:rtl/>
              </w:rPr>
              <w:t>3</w:t>
            </w:r>
            <w:r w:rsidRPr="00685755">
              <w:rPr>
                <w:rFonts w:ascii="Tahoma" w:eastAsia="Times New Roman" w:hAnsi="Tahoma" w:cs="B Mitra" w:hint="cs"/>
                <w:color w:val="auto"/>
                <w:sz w:val="24"/>
                <w:szCs w:val="24"/>
                <w:rtl/>
              </w:rPr>
              <w:t>-1-1</w:t>
            </w:r>
          </w:p>
        </w:tc>
        <w:tc>
          <w:tcPr>
            <w:tcW w:w="6946" w:type="dxa"/>
            <w:vAlign w:val="center"/>
          </w:tcPr>
          <w:p w:rsidR="005678DB" w:rsidRPr="001B1669" w:rsidRDefault="005678DB" w:rsidP="006A0C05">
            <w:pPr>
              <w:bidi/>
              <w:ind w:firstLine="0"/>
              <w:jc w:val="left"/>
              <w:rPr>
                <w:rFonts w:ascii="Tahoma" w:eastAsia="Times New Roman" w:hAnsi="Tahoma" w:cs="B Nazanin"/>
                <w:color w:val="auto"/>
                <w:szCs w:val="22"/>
                <w:rtl/>
              </w:rPr>
            </w:pPr>
            <w:r w:rsidRPr="001B1669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مقاله های فارسی در مجلات </w:t>
            </w:r>
            <w:r w:rsidRPr="001B1669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علمی</w:t>
            </w:r>
            <w:r w:rsidRPr="001B1669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پژوهشی معتبر وزارت علوم</w:t>
            </w:r>
            <w:r w:rsidRPr="001B1669">
              <w:rPr>
                <w:rFonts w:ascii="Tahoma" w:eastAsia="Times New Roman" w:hAnsi="Tahoma" w:cs="B Nazanin" w:hint="cs"/>
                <w:color w:val="auto"/>
                <w:sz w:val="24"/>
                <w:szCs w:val="24"/>
                <w:rtl/>
              </w:rPr>
              <w:t>، تحقیقات و فناوری</w:t>
            </w:r>
          </w:p>
        </w:tc>
        <w:tc>
          <w:tcPr>
            <w:tcW w:w="1418" w:type="dxa"/>
            <w:vAlign w:val="center"/>
          </w:tcPr>
          <w:p w:rsidR="005678DB" w:rsidRPr="00685755" w:rsidRDefault="005678DB" w:rsidP="006A0C05">
            <w:pPr>
              <w:bidi/>
              <w:spacing w:line="276" w:lineRule="auto"/>
              <w:ind w:firstLine="0"/>
              <w:jc w:val="center"/>
              <w:rPr>
                <w:rFonts w:ascii="Tahoma" w:eastAsia="Times New Roman" w:hAnsi="Tahoma" w:cs="B Mitra"/>
                <w:color w:val="auto"/>
                <w:sz w:val="27"/>
                <w:szCs w:val="27"/>
                <w:rtl/>
              </w:rPr>
            </w:pPr>
            <w:r>
              <w:rPr>
                <w:rFonts w:ascii="Tahoma" w:eastAsia="Times New Roman" w:hAnsi="Tahoma" w:cs="B Mitra" w:hint="cs"/>
                <w:color w:val="auto"/>
                <w:sz w:val="27"/>
                <w:szCs w:val="27"/>
                <w:rtl/>
              </w:rPr>
              <w:t>تا 7</w:t>
            </w:r>
          </w:p>
        </w:tc>
      </w:tr>
      <w:tr w:rsidR="005678DB" w:rsidTr="001B1669">
        <w:trPr>
          <w:trHeight w:val="1523"/>
        </w:trPr>
        <w:tc>
          <w:tcPr>
            <w:tcW w:w="992" w:type="dxa"/>
          </w:tcPr>
          <w:p w:rsidR="005678DB" w:rsidRPr="00685755" w:rsidRDefault="005678DB" w:rsidP="00685755">
            <w:pPr>
              <w:bidi/>
              <w:ind w:firstLine="0"/>
              <w:jc w:val="center"/>
              <w:rPr>
                <w:rFonts w:ascii="Tahoma" w:eastAsia="Times New Roman" w:hAnsi="Tahoma" w:cs="B Mitra"/>
                <w:color w:val="auto"/>
                <w:sz w:val="24"/>
                <w:szCs w:val="24"/>
                <w:rtl/>
              </w:rPr>
            </w:pPr>
            <w:r w:rsidRPr="00685755">
              <w:rPr>
                <w:rFonts w:ascii="Tahoma" w:eastAsia="Times New Roman" w:hAnsi="Tahoma" w:cs="B Mitra" w:hint="cs"/>
                <w:color w:val="auto"/>
                <w:sz w:val="24"/>
                <w:szCs w:val="24"/>
                <w:rtl/>
              </w:rPr>
              <w:t>3-1-2</w:t>
            </w:r>
          </w:p>
        </w:tc>
        <w:tc>
          <w:tcPr>
            <w:tcW w:w="6946" w:type="dxa"/>
            <w:vAlign w:val="center"/>
          </w:tcPr>
          <w:p w:rsidR="001B1669" w:rsidRDefault="005678DB" w:rsidP="001B1669">
            <w:pPr>
              <w:bidi/>
              <w:ind w:firstLine="0"/>
              <w:jc w:val="left"/>
              <w:rPr>
                <w:rFonts w:cs="B Mitra"/>
                <w:color w:val="auto"/>
                <w:szCs w:val="22"/>
              </w:rPr>
            </w:pPr>
            <w:r w:rsidRPr="00A84FF1">
              <w:rPr>
                <w:rFonts w:ascii="Tahoma" w:eastAsia="Times New Roman" w:hAnsi="Tahoma" w:cs="B Nazanin" w:hint="cs"/>
                <w:color w:val="auto"/>
                <w:szCs w:val="22"/>
                <w:rtl/>
                <w:lang w:bidi="fa-IR"/>
              </w:rPr>
              <w:t xml:space="preserve">مقاله </w:t>
            </w:r>
            <w:r w:rsidRPr="00A84FF1">
              <w:rPr>
                <w:rFonts w:cs="B Mitra" w:hint="cs"/>
                <w:color w:val="auto"/>
                <w:szCs w:val="22"/>
                <w:rtl/>
              </w:rPr>
              <w:t xml:space="preserve">های چاپ شده در مجلات </w:t>
            </w:r>
            <w:r w:rsidRPr="00A84FF1">
              <w:rPr>
                <w:rFonts w:cs="B Mitra"/>
                <w:color w:val="auto"/>
                <w:szCs w:val="22"/>
              </w:rPr>
              <w:t xml:space="preserve">ISI </w:t>
            </w:r>
            <w:r w:rsidRPr="00A84FF1">
              <w:rPr>
                <w:rFonts w:cs="B Mitra" w:hint="cs"/>
                <w:color w:val="auto"/>
                <w:szCs w:val="22"/>
                <w:rtl/>
              </w:rPr>
              <w:t xml:space="preserve"> </w:t>
            </w:r>
            <w:r w:rsidRPr="00A84FF1">
              <w:rPr>
                <w:rFonts w:ascii="Tahoma" w:eastAsia="Times New Roman" w:hAnsi="Tahoma" w:cs="B Nazanin" w:hint="cs"/>
                <w:color w:val="auto"/>
                <w:szCs w:val="22"/>
                <w:rtl/>
                <w:lang w:bidi="fa-IR"/>
              </w:rPr>
              <w:t xml:space="preserve"> </w:t>
            </w:r>
            <w:r w:rsidRPr="00A84FF1">
              <w:rPr>
                <w:rFonts w:cs="B Mitra" w:hint="cs"/>
                <w:color w:val="auto"/>
                <w:szCs w:val="22"/>
                <w:rtl/>
              </w:rPr>
              <w:t>(برای مقالات مشترک با موسسات بین</w:t>
            </w:r>
            <w:r w:rsidRPr="00A84FF1">
              <w:rPr>
                <w:rFonts w:cs="B Mitra"/>
                <w:color w:val="auto"/>
                <w:szCs w:val="22"/>
              </w:rPr>
              <w:t xml:space="preserve"> </w:t>
            </w:r>
            <w:r w:rsidRPr="00A84FF1">
              <w:rPr>
                <w:rFonts w:cs="B Mitra" w:hint="cs"/>
                <w:color w:val="auto"/>
                <w:szCs w:val="22"/>
                <w:rtl/>
              </w:rPr>
              <w:t>المللی</w:t>
            </w:r>
            <w:r>
              <w:rPr>
                <w:rFonts w:cs="B Mitra" w:hint="cs"/>
                <w:color w:val="auto"/>
                <w:szCs w:val="22"/>
                <w:rtl/>
              </w:rPr>
              <w:t xml:space="preserve"> و یا نمایه شده</w:t>
            </w:r>
            <w:r w:rsidRPr="00A84FF1">
              <w:rPr>
                <w:rFonts w:cs="B Mitra" w:hint="cs"/>
                <w:color w:val="auto"/>
                <w:szCs w:val="22"/>
                <w:rtl/>
              </w:rPr>
              <w:t xml:space="preserve">) </w:t>
            </w:r>
          </w:p>
          <w:p w:rsidR="001B1669" w:rsidRPr="001B1669" w:rsidRDefault="00727AE4" w:rsidP="001B1669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hyperlink r:id="rId6" w:history="1">
              <w:r w:rsidR="001B1669" w:rsidRPr="001B1669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</w:rPr>
                <w:t>Arts &amp; Humanities Citation Index®  </w:t>
              </w:r>
            </w:hyperlink>
            <w:r w:rsidR="001B1669" w:rsidRPr="001B166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   (</w:t>
            </w:r>
            <w:r w:rsidR="001B1669" w:rsidRPr="001B166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Web of Science</w:t>
            </w:r>
            <w:r w:rsidR="001B1669" w:rsidRPr="001B166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)</w:t>
            </w:r>
          </w:p>
          <w:p w:rsidR="001B1669" w:rsidRPr="001B1669" w:rsidRDefault="00727AE4" w:rsidP="001B1669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hyperlink r:id="rId7" w:history="1">
              <w:r w:rsidR="001B1669" w:rsidRPr="001B1669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</w:rPr>
                <w:t>Science Citation Index Expanded™</w:t>
              </w:r>
            </w:hyperlink>
            <w:r w:rsidR="001B1669" w:rsidRPr="001B166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   (</w:t>
            </w:r>
            <w:r w:rsidR="001B1669" w:rsidRPr="001B166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Web of Science</w:t>
            </w:r>
            <w:r w:rsidR="001B1669" w:rsidRPr="001B166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)</w:t>
            </w:r>
          </w:p>
          <w:p w:rsidR="001B1669" w:rsidRPr="001B1669" w:rsidRDefault="00727AE4" w:rsidP="001B1669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hyperlink r:id="rId8" w:history="1">
              <w:r w:rsidR="001B1669" w:rsidRPr="001B1669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</w:rPr>
                <w:t>Social Sciences Citation Index®</w:t>
              </w:r>
            </w:hyperlink>
            <w:r w:rsidR="001B1669" w:rsidRPr="001B166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   (</w:t>
            </w:r>
            <w:r w:rsidR="001B1669" w:rsidRPr="001B166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Web of Science</w:t>
            </w:r>
            <w:r w:rsidR="001B1669" w:rsidRPr="001B166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)</w:t>
            </w:r>
          </w:p>
          <w:p w:rsidR="001B1669" w:rsidRDefault="00727AE4" w:rsidP="001B1669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hyperlink r:id="rId9" w:history="1">
              <w:r w:rsidR="001B1669" w:rsidRPr="001B1669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</w:rPr>
                <w:t>Emerging Sources Citation Index</w:t>
              </w:r>
            </w:hyperlink>
            <w:r w:rsidR="001B1669" w:rsidRPr="001B166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  (</w:t>
            </w:r>
            <w:r w:rsidR="001B1669" w:rsidRPr="001B166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Web of Science</w:t>
            </w:r>
            <w:r w:rsidR="001B1669" w:rsidRPr="001B166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)</w:t>
            </w:r>
          </w:p>
          <w:p w:rsidR="00727AE4" w:rsidRPr="001B1669" w:rsidRDefault="00727AE4" w:rsidP="00727AE4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27AE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Science Citation Index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</w:t>
            </w:r>
            <w:r w:rsidRPr="001B166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(</w:t>
            </w:r>
            <w:r w:rsidRPr="001B166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Web of Science</w:t>
            </w:r>
            <w:r w:rsidRPr="001B166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5678DB" w:rsidRPr="00A84FF1" w:rsidRDefault="001B1669" w:rsidP="001B1669">
            <w:pPr>
              <w:bidi/>
              <w:ind w:firstLine="0"/>
              <w:rPr>
                <w:rFonts w:ascii="Tahoma" w:eastAsia="Times New Roman" w:hAnsi="Tahoma" w:cs="B Nazanin"/>
                <w:color w:val="auto"/>
                <w:szCs w:val="22"/>
                <w:lang w:bidi="fa-IR"/>
              </w:rPr>
            </w:pPr>
            <w:r w:rsidRPr="001B1669">
              <w:rPr>
                <w:rFonts w:ascii="Tahoma" w:eastAsia="Times New Roman" w:hAnsi="Tahoma" w:cs="B Nazanin"/>
                <w:color w:val="auto"/>
                <w:szCs w:val="22"/>
                <w:lang w:bidi="fa-IR"/>
              </w:rPr>
              <w:t xml:space="preserve"> </w:t>
            </w:r>
            <w:r w:rsidR="006A0C05" w:rsidRPr="001B1669">
              <w:rPr>
                <w:rFonts w:ascii="Tahoma" w:eastAsia="Times New Roman" w:hAnsi="Tahoma" w:cs="B Nazanin"/>
                <w:color w:val="auto"/>
                <w:szCs w:val="22"/>
                <w:lang w:bidi="fa-IR"/>
              </w:rPr>
              <w:t xml:space="preserve">                                 </w:t>
            </w:r>
          </w:p>
        </w:tc>
        <w:tc>
          <w:tcPr>
            <w:tcW w:w="1418" w:type="dxa"/>
            <w:vAlign w:val="center"/>
          </w:tcPr>
          <w:p w:rsidR="005678DB" w:rsidRDefault="005678DB" w:rsidP="006A0C05">
            <w:pPr>
              <w:bidi/>
              <w:spacing w:line="276" w:lineRule="auto"/>
              <w:ind w:firstLine="0"/>
              <w:jc w:val="center"/>
              <w:rPr>
                <w:rFonts w:ascii="Tahoma" w:eastAsia="Times New Roman" w:hAnsi="Tahoma" w:cs="B Nazanin"/>
                <w:color w:val="auto"/>
                <w:sz w:val="27"/>
                <w:szCs w:val="27"/>
                <w:rtl/>
              </w:rPr>
            </w:pPr>
            <w:r>
              <w:rPr>
                <w:rFonts w:ascii="Tahoma" w:eastAsia="Times New Roman" w:hAnsi="Tahoma" w:cs="B Nazanin" w:hint="cs"/>
                <w:color w:val="auto"/>
                <w:sz w:val="27"/>
                <w:szCs w:val="27"/>
                <w:rtl/>
              </w:rPr>
              <w:t>تا 7</w:t>
            </w:r>
          </w:p>
        </w:tc>
      </w:tr>
      <w:tr w:rsidR="005678DB" w:rsidTr="001B1669">
        <w:trPr>
          <w:trHeight w:val="685"/>
        </w:trPr>
        <w:tc>
          <w:tcPr>
            <w:tcW w:w="992" w:type="dxa"/>
          </w:tcPr>
          <w:p w:rsidR="005678DB" w:rsidRPr="00685755" w:rsidRDefault="005678DB" w:rsidP="00685755">
            <w:pPr>
              <w:bidi/>
              <w:ind w:firstLine="0"/>
              <w:jc w:val="center"/>
              <w:rPr>
                <w:rFonts w:ascii="Tahoma" w:eastAsia="Times New Roman" w:hAnsi="Tahoma" w:cs="B Mitra"/>
                <w:color w:val="auto"/>
                <w:sz w:val="24"/>
                <w:szCs w:val="24"/>
                <w:rtl/>
              </w:rPr>
            </w:pPr>
            <w:r w:rsidRPr="00685755">
              <w:rPr>
                <w:rFonts w:ascii="Tahoma" w:eastAsia="Times New Roman" w:hAnsi="Tahoma" w:cs="B Mitra" w:hint="cs"/>
                <w:color w:val="auto"/>
                <w:sz w:val="24"/>
                <w:szCs w:val="24"/>
                <w:rtl/>
              </w:rPr>
              <w:t>3-1-3</w:t>
            </w:r>
          </w:p>
        </w:tc>
        <w:tc>
          <w:tcPr>
            <w:tcW w:w="6946" w:type="dxa"/>
            <w:vAlign w:val="center"/>
          </w:tcPr>
          <w:p w:rsidR="005678DB" w:rsidRPr="001B1669" w:rsidRDefault="005678DB" w:rsidP="006A0C05">
            <w:pPr>
              <w:bidi/>
              <w:ind w:firstLine="0"/>
              <w:jc w:val="left"/>
              <w:rPr>
                <w:rFonts w:ascii="Tahoma" w:eastAsia="Times New Roman" w:hAnsi="Tahoma" w:cs="B Nazanin"/>
                <w:color w:val="auto"/>
                <w:szCs w:val="22"/>
                <w:rtl/>
              </w:rPr>
            </w:pPr>
            <w:r w:rsidRPr="001B1669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مقاله های چاپ شده در مجلات علمی پژوهشی به زبان دوم نمایه شده در </w:t>
            </w:r>
            <w:r w:rsidRPr="001B1669">
              <w:rPr>
                <w:rFonts w:cs="B Nazanin"/>
                <w:color w:val="auto"/>
                <w:sz w:val="24"/>
                <w:szCs w:val="24"/>
                <w:lang w:bidi="fa-IR"/>
              </w:rPr>
              <w:t xml:space="preserve">ISI </w:t>
            </w:r>
            <w:r w:rsidRPr="001B1669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یا  </w:t>
            </w:r>
            <w:r w:rsidRPr="001B1669">
              <w:rPr>
                <w:rFonts w:cs="B Nazanin"/>
                <w:color w:val="auto"/>
                <w:sz w:val="24"/>
                <w:szCs w:val="24"/>
                <w:lang w:bidi="fa-IR"/>
              </w:rPr>
              <w:t>Scopus</w:t>
            </w:r>
          </w:p>
        </w:tc>
        <w:tc>
          <w:tcPr>
            <w:tcW w:w="1418" w:type="dxa"/>
            <w:vAlign w:val="center"/>
          </w:tcPr>
          <w:p w:rsidR="005678DB" w:rsidRDefault="005678DB" w:rsidP="006A0C05">
            <w:pPr>
              <w:bidi/>
              <w:spacing w:line="276" w:lineRule="auto"/>
              <w:ind w:firstLine="0"/>
              <w:jc w:val="center"/>
              <w:rPr>
                <w:rFonts w:ascii="Tahoma" w:eastAsia="Times New Roman" w:hAnsi="Tahoma" w:cs="B Nazanin"/>
                <w:color w:val="auto"/>
                <w:sz w:val="27"/>
                <w:szCs w:val="27"/>
                <w:rtl/>
              </w:rPr>
            </w:pPr>
            <w:r>
              <w:rPr>
                <w:rFonts w:ascii="Tahoma" w:eastAsia="Times New Roman" w:hAnsi="Tahoma" w:cs="B Nazanin" w:hint="cs"/>
                <w:color w:val="auto"/>
                <w:sz w:val="27"/>
                <w:szCs w:val="27"/>
                <w:rtl/>
              </w:rPr>
              <w:t>تا 4</w:t>
            </w:r>
          </w:p>
        </w:tc>
      </w:tr>
      <w:tr w:rsidR="005678DB" w:rsidTr="001B1669">
        <w:trPr>
          <w:trHeight w:val="848"/>
        </w:trPr>
        <w:tc>
          <w:tcPr>
            <w:tcW w:w="992" w:type="dxa"/>
          </w:tcPr>
          <w:p w:rsidR="005678DB" w:rsidRPr="00685755" w:rsidRDefault="005678DB" w:rsidP="00685755">
            <w:pPr>
              <w:bidi/>
              <w:ind w:firstLine="0"/>
              <w:jc w:val="center"/>
              <w:rPr>
                <w:rFonts w:ascii="Tahoma" w:eastAsia="Times New Roman" w:hAnsi="Tahoma" w:cs="B Mitra"/>
                <w:color w:val="auto"/>
                <w:sz w:val="24"/>
                <w:szCs w:val="24"/>
                <w:rtl/>
              </w:rPr>
            </w:pPr>
            <w:r w:rsidRPr="00685755">
              <w:rPr>
                <w:rFonts w:ascii="Tahoma" w:eastAsia="Times New Roman" w:hAnsi="Tahoma" w:cs="B Mitra" w:hint="cs"/>
                <w:color w:val="auto"/>
                <w:sz w:val="24"/>
                <w:szCs w:val="24"/>
                <w:rtl/>
              </w:rPr>
              <w:t>3-2</w:t>
            </w:r>
          </w:p>
        </w:tc>
        <w:tc>
          <w:tcPr>
            <w:tcW w:w="6946" w:type="dxa"/>
            <w:vAlign w:val="center"/>
          </w:tcPr>
          <w:p w:rsidR="005678DB" w:rsidRPr="001B1669" w:rsidRDefault="005678DB" w:rsidP="006A0C05">
            <w:pPr>
              <w:bidi/>
              <w:ind w:firstLine="0"/>
              <w:jc w:val="left"/>
              <w:rPr>
                <w:rFonts w:ascii="Tahoma" w:eastAsia="Times New Roman" w:hAnsi="Tahoma" w:cs="B Nazanin"/>
                <w:color w:val="auto"/>
                <w:szCs w:val="22"/>
                <w:rtl/>
              </w:rPr>
            </w:pPr>
            <w:r w:rsidRPr="001B1669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مقاله های علمی پژوهشی منتشر شده در نشریه های معتبر و مقالات معتبر غیر فارسی نمایه نشده در </w:t>
            </w:r>
            <w:r w:rsidRPr="001B1669">
              <w:rPr>
                <w:rFonts w:cs="B Nazanin"/>
                <w:color w:val="auto"/>
                <w:sz w:val="24"/>
                <w:szCs w:val="24"/>
              </w:rPr>
              <w:t xml:space="preserve">ISI </w:t>
            </w:r>
            <w:r w:rsidRPr="001B1669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و </w:t>
            </w:r>
            <w:r w:rsidRPr="001B1669">
              <w:rPr>
                <w:rFonts w:cs="B Nazanin"/>
                <w:color w:val="auto"/>
                <w:sz w:val="24"/>
                <w:szCs w:val="24"/>
                <w:lang w:bidi="fa-IR"/>
              </w:rPr>
              <w:t>Scopus</w:t>
            </w:r>
          </w:p>
        </w:tc>
        <w:tc>
          <w:tcPr>
            <w:tcW w:w="1418" w:type="dxa"/>
            <w:vAlign w:val="center"/>
          </w:tcPr>
          <w:p w:rsidR="005678DB" w:rsidRDefault="005678DB" w:rsidP="006A0C05">
            <w:pPr>
              <w:bidi/>
              <w:spacing w:line="276" w:lineRule="auto"/>
              <w:ind w:firstLine="0"/>
              <w:jc w:val="center"/>
              <w:rPr>
                <w:rFonts w:ascii="Tahoma" w:eastAsia="Times New Roman" w:hAnsi="Tahoma" w:cs="B Nazanin"/>
                <w:color w:val="auto"/>
                <w:sz w:val="27"/>
                <w:szCs w:val="27"/>
                <w:rtl/>
              </w:rPr>
            </w:pPr>
            <w:r>
              <w:rPr>
                <w:rFonts w:ascii="Tahoma" w:eastAsia="Times New Roman" w:hAnsi="Tahoma" w:cs="B Nazanin" w:hint="cs"/>
                <w:color w:val="auto"/>
                <w:sz w:val="27"/>
                <w:szCs w:val="27"/>
                <w:rtl/>
              </w:rPr>
              <w:t>تا 2</w:t>
            </w:r>
          </w:p>
        </w:tc>
      </w:tr>
    </w:tbl>
    <w:p w:rsidR="00685755" w:rsidRDefault="00685755" w:rsidP="00912D31">
      <w:pPr>
        <w:bidi/>
        <w:spacing w:line="240" w:lineRule="auto"/>
        <w:ind w:left="720" w:hanging="720"/>
        <w:rPr>
          <w:rFonts w:ascii="Tahoma" w:eastAsia="Times New Roman" w:hAnsi="Tahoma" w:cs="B Nazanin"/>
          <w:b/>
          <w:bCs/>
          <w:color w:val="auto"/>
          <w:sz w:val="28"/>
          <w:rtl/>
        </w:rPr>
      </w:pPr>
    </w:p>
    <w:p w:rsidR="003D7F40" w:rsidRPr="008F51D3" w:rsidRDefault="00053786" w:rsidP="00685755">
      <w:pPr>
        <w:bidi/>
        <w:spacing w:line="240" w:lineRule="auto"/>
        <w:ind w:left="720" w:hanging="720"/>
        <w:rPr>
          <w:rFonts w:ascii="Tahoma" w:eastAsia="Times New Roman" w:hAnsi="Tahoma" w:cs="B Nazanin"/>
          <w:b/>
          <w:bCs/>
          <w:color w:val="auto"/>
          <w:sz w:val="28"/>
          <w:rtl/>
          <w:lang w:bidi="fa-IR"/>
        </w:rPr>
      </w:pPr>
      <w:r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ماده5</w:t>
      </w:r>
      <w:r w:rsidR="003E0682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)</w:t>
      </w:r>
      <w:r w:rsidR="00483E1F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 xml:space="preserve"> </w:t>
      </w:r>
      <w:r w:rsidR="004A565C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امتیاز</w:t>
      </w:r>
      <w:r w:rsidR="00134E49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 xml:space="preserve"> فعالیت</w:t>
      </w:r>
      <w:r w:rsidR="00892897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‌</w:t>
      </w:r>
      <w:r w:rsidR="00134E49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 xml:space="preserve">های علمی </w:t>
      </w:r>
      <w:r w:rsidR="00CA2CEE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و</w:t>
      </w:r>
      <w:r w:rsidR="004A565C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 xml:space="preserve"> اجرایی</w:t>
      </w:r>
      <w:r w:rsidR="00207BDB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:</w:t>
      </w:r>
    </w:p>
    <w:p w:rsidR="00134E49" w:rsidRPr="008F51D3" w:rsidRDefault="0055230E" w:rsidP="00912D31">
      <w:pPr>
        <w:bidi/>
        <w:spacing w:line="240" w:lineRule="auto"/>
        <w:rPr>
          <w:rFonts w:ascii="Tahoma" w:eastAsia="Times New Roman" w:hAnsi="Tahoma" w:cs="B Nazanin"/>
          <w:color w:val="auto"/>
          <w:sz w:val="27"/>
          <w:szCs w:val="27"/>
          <w:rtl/>
          <w:lang w:bidi="fa-IR"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امتیاز فعالیت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‌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های علمی و اجرایی </w:t>
      </w:r>
      <w:r w:rsidR="00134E49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برای اعضای هی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أ</w:t>
      </w:r>
      <w:r w:rsidR="00134E49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ت علمی با هر م</w:t>
      </w:r>
      <w:r w:rsidR="00265C0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ر</w:t>
      </w:r>
      <w:r w:rsidR="00645CB8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تبه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‌ی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علمی حد</w:t>
      </w:r>
      <w:r w:rsidR="00F52626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اقل</w:t>
      </w:r>
      <w:r w:rsidR="00354EBB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D961D6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4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5F7191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امتیاز برای ترفیع سالانه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است. </w:t>
      </w:r>
    </w:p>
    <w:p w:rsidR="00122911" w:rsidRPr="008F51D3" w:rsidRDefault="00483E1F" w:rsidP="00F948D6">
      <w:pPr>
        <w:pStyle w:val="ListParagraph"/>
        <w:numPr>
          <w:ilvl w:val="1"/>
          <w:numId w:val="27"/>
        </w:numPr>
        <w:bidi/>
        <w:spacing w:line="240" w:lineRule="auto"/>
        <w:ind w:left="996" w:hanging="425"/>
        <w:rPr>
          <w:rFonts w:ascii="Tahoma" w:eastAsia="Times New Roman" w:hAnsi="Tahoma" w:cs="B Nazanin"/>
          <w:color w:val="auto"/>
          <w:sz w:val="27"/>
          <w:szCs w:val="27"/>
          <w:rtl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122911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میانگین ساعت</w:t>
      </w:r>
      <w:r w:rsidR="00D961D6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حضور عضو هی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أ</w:t>
      </w:r>
      <w:r w:rsidR="00D961D6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ت علمی </w:t>
      </w:r>
      <w:r w:rsidR="00122911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در سال</w:t>
      </w:r>
      <w:r w:rsidR="004A565C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مورد درخواست </w:t>
      </w:r>
      <w:r w:rsidR="00122911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نباید از حداقل </w:t>
      </w:r>
      <w:r w:rsidR="00D961D6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میزان تعیین شده</w:t>
      </w:r>
      <w:r w:rsidR="00807E34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110661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توسط دانشگاه </w:t>
      </w:r>
      <w:r w:rsidR="00122911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کمتر باشد</w:t>
      </w:r>
      <w:r w:rsidR="00110661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.</w:t>
      </w:r>
      <w:r w:rsidR="007D038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F52626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در صورت کمتر بودن ساعات موظف در سال اول تذکر حضور </w:t>
      </w:r>
      <w:r w:rsidR="00BE5E01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و </w:t>
      </w:r>
      <w:r w:rsidR="00F948D6">
        <w:rPr>
          <w:rFonts w:ascii="Tahoma" w:eastAsia="Times New Roman" w:hAnsi="Tahoma" w:cs="B Nazanin" w:hint="cs"/>
          <w:color w:val="auto"/>
          <w:sz w:val="27"/>
          <w:szCs w:val="27"/>
          <w:rtl/>
        </w:rPr>
        <w:t>در سال دوم پایه‌</w:t>
      </w:r>
      <w:r w:rsidR="008D6FAB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ی</w:t>
      </w:r>
      <w:r w:rsidR="00F948D6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ترفیع</w:t>
      </w:r>
      <w:r w:rsidR="008D6FAB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7D038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اعطا نمی‌</w:t>
      </w:r>
      <w:r w:rsidR="00F52626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گردد. </w:t>
      </w:r>
    </w:p>
    <w:p w:rsidR="000B69D0" w:rsidRPr="008F51D3" w:rsidRDefault="00483E1F" w:rsidP="008F51D3">
      <w:pPr>
        <w:pStyle w:val="ListParagraph"/>
        <w:numPr>
          <w:ilvl w:val="1"/>
          <w:numId w:val="27"/>
        </w:numPr>
        <w:bidi/>
        <w:spacing w:line="240" w:lineRule="auto"/>
        <w:ind w:left="996" w:hanging="425"/>
        <w:rPr>
          <w:rFonts w:ascii="Tahoma" w:eastAsia="Times New Roman" w:hAnsi="Tahoma" w:cs="B Nazanin"/>
          <w:color w:val="auto"/>
          <w:sz w:val="27"/>
          <w:szCs w:val="27"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5B444C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کل امتیاز پژوهشی </w:t>
      </w:r>
      <w:r w:rsidR="004A565C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اعضای هی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أ</w:t>
      </w:r>
      <w:r w:rsidR="004A565C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ت علمی موضوع ماده</w:t>
      </w:r>
      <w:r w:rsidR="000B6671">
        <w:rPr>
          <w:rFonts w:ascii="Tahoma" w:eastAsia="Times New Roman" w:hAnsi="Tahoma" w:cs="B Nazanin" w:hint="cs"/>
          <w:color w:val="auto"/>
          <w:sz w:val="27"/>
          <w:szCs w:val="27"/>
          <w:rtl/>
        </w:rPr>
        <w:t>‌ی</w:t>
      </w:r>
      <w:r w:rsidR="004A565C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25 آئین نامه</w:t>
      </w:r>
      <w:r w:rsidR="000B6671">
        <w:rPr>
          <w:rFonts w:ascii="Tahoma" w:eastAsia="Times New Roman" w:hAnsi="Tahoma" w:cs="B Nazanin" w:hint="cs"/>
          <w:color w:val="auto"/>
          <w:sz w:val="27"/>
          <w:szCs w:val="27"/>
          <w:rtl/>
        </w:rPr>
        <w:t>‌ی</w:t>
      </w:r>
      <w:r w:rsidR="004A565C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استخدامی اعضای علمی که دارای پست</w:t>
      </w:r>
      <w:r w:rsidR="00380F20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‌</w:t>
      </w:r>
      <w:r w:rsidR="004A565C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های اجرائی مصوب ستاره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‌</w:t>
      </w:r>
      <w:r w:rsidR="004A565C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دار دانشگاه 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هستند</w:t>
      </w:r>
      <w:r w:rsidR="004A565C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، برای سال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‌</w:t>
      </w:r>
      <w:r w:rsidR="004A565C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های بعد ذخیره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می‌</w:t>
      </w:r>
      <w:r w:rsidR="004A565C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شود. </w:t>
      </w:r>
    </w:p>
    <w:p w:rsidR="003E0682" w:rsidRPr="008F51D3" w:rsidRDefault="00483E1F" w:rsidP="000B6671">
      <w:pPr>
        <w:pStyle w:val="ListParagraph"/>
        <w:numPr>
          <w:ilvl w:val="1"/>
          <w:numId w:val="27"/>
        </w:numPr>
        <w:bidi/>
        <w:spacing w:line="240" w:lineRule="auto"/>
        <w:ind w:left="996" w:hanging="425"/>
        <w:rPr>
          <w:rFonts w:ascii="Tahoma" w:eastAsia="Times New Roman" w:hAnsi="Tahoma" w:cs="B Nazanin"/>
          <w:color w:val="auto"/>
          <w:sz w:val="27"/>
          <w:szCs w:val="27"/>
          <w:rtl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3E0682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مبنای محاسبه‌ی امتیازات جدول ترفیع،</w:t>
      </w:r>
      <w:r w:rsidR="00AB7DB4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3E0682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امتیازات مندرج در آئین‌نامه‌ی ارتقاء</w:t>
      </w:r>
      <w:r w:rsidR="007D038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می‌باشد که طی نامه‌ی </w:t>
      </w:r>
      <w:r w:rsidR="003E0682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شماره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AB2424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97455/ و </w:t>
      </w:r>
      <w:r w:rsidR="003E0682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مورخ</w:t>
      </w:r>
      <w:r w:rsidR="007D038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AB2424">
        <w:rPr>
          <w:rFonts w:ascii="Tahoma" w:eastAsia="Times New Roman" w:hAnsi="Tahoma" w:cs="B Nazanin" w:hint="cs"/>
          <w:color w:val="auto"/>
          <w:sz w:val="27"/>
          <w:szCs w:val="27"/>
          <w:rtl/>
        </w:rPr>
        <w:t>11/05/1395</w:t>
      </w:r>
      <w:r w:rsidR="003E0682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AB2424">
        <w:rPr>
          <w:rFonts w:ascii="Tahoma" w:eastAsia="Times New Roman" w:hAnsi="Tahoma" w:cs="B Nazanin" w:hint="cs"/>
          <w:color w:val="auto"/>
          <w:sz w:val="27"/>
          <w:szCs w:val="27"/>
          <w:rtl/>
        </w:rPr>
        <w:t>وزیر محترم علوم، تحقیقات و فناوری به</w:t>
      </w:r>
      <w:r w:rsidR="007D038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کلیه‌ی دانشگاه‌ها و م</w:t>
      </w:r>
      <w:r w:rsidR="000B6671">
        <w:rPr>
          <w:rFonts w:ascii="Tahoma" w:eastAsia="Times New Roman" w:hAnsi="Tahoma" w:cs="B Nazanin" w:hint="cs"/>
          <w:color w:val="auto"/>
          <w:sz w:val="27"/>
          <w:szCs w:val="27"/>
          <w:rtl/>
        </w:rPr>
        <w:t>ؤ</w:t>
      </w:r>
      <w:r w:rsidR="007D038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سسات آموزش عالی</w:t>
      </w:r>
      <w:r w:rsidR="00AB2424">
        <w:rPr>
          <w:rFonts w:ascii="Tahoma" w:eastAsia="Times New Roman" w:hAnsi="Tahoma" w:cs="B Nazanin" w:hint="cs"/>
          <w:color w:val="auto"/>
          <w:sz w:val="27"/>
          <w:szCs w:val="27"/>
          <w:rtl/>
        </w:rPr>
        <w:t>، پژوهشی و فناوری دولتی و غیر دولتی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7D038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ابلاغ شده است.</w:t>
      </w:r>
    </w:p>
    <w:p w:rsidR="00B953B3" w:rsidRPr="008F51D3" w:rsidRDefault="00053786" w:rsidP="00912D31">
      <w:pPr>
        <w:bidi/>
        <w:spacing w:line="240" w:lineRule="auto"/>
        <w:ind w:left="720" w:hanging="720"/>
        <w:rPr>
          <w:rFonts w:ascii="Tahoma" w:eastAsia="Times New Roman" w:hAnsi="Tahoma" w:cs="B Nazanin"/>
          <w:color w:val="auto"/>
          <w:sz w:val="28"/>
          <w:rtl/>
        </w:rPr>
      </w:pPr>
      <w:r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ماده6</w:t>
      </w:r>
      <w:r w:rsidR="003E0682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 xml:space="preserve">) </w:t>
      </w:r>
      <w:r w:rsidR="00821C7A"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رکود علمی</w:t>
      </w:r>
      <w:r w:rsidR="00207BDB" w:rsidRPr="008F51D3">
        <w:rPr>
          <w:rFonts w:ascii="Tahoma" w:eastAsia="Times New Roman" w:hAnsi="Tahoma" w:cs="B Nazanin" w:hint="cs"/>
          <w:color w:val="auto"/>
          <w:sz w:val="28"/>
          <w:rtl/>
        </w:rPr>
        <w:t>:</w:t>
      </w:r>
    </w:p>
    <w:p w:rsidR="004D4BC0" w:rsidRPr="008F51D3" w:rsidRDefault="00821C7A" w:rsidP="000B6671">
      <w:pPr>
        <w:bidi/>
        <w:spacing w:line="240" w:lineRule="auto"/>
        <w:ind w:left="713" w:firstLine="0"/>
        <w:rPr>
          <w:rFonts w:ascii="Tahoma" w:eastAsia="Times New Roman" w:hAnsi="Tahoma" w:cs="B Nazanin"/>
          <w:color w:val="auto"/>
          <w:sz w:val="27"/>
          <w:szCs w:val="27"/>
          <w:rtl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در صورتی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‌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که عضو هی</w:t>
      </w:r>
      <w:r w:rsidR="0089289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أ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ت علمی طی سه سال متوالی نتواند حداقل امتیاز لازم برای دریافت یک پایه ترفیع را کسب کند، </w:t>
      </w:r>
      <w:r w:rsidR="001E19A9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مصداق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رکود علمی</w:t>
      </w:r>
      <w:r w:rsidR="001E19A9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و عدم کفایت و صلاحیت برای ادامه‌ی عضویت در هی</w:t>
      </w:r>
      <w:r w:rsidR="000B6671">
        <w:rPr>
          <w:rFonts w:ascii="Tahoma" w:eastAsia="Times New Roman" w:hAnsi="Tahoma" w:cs="B Nazanin" w:hint="cs"/>
          <w:color w:val="auto"/>
          <w:sz w:val="27"/>
          <w:szCs w:val="27"/>
          <w:rtl/>
        </w:rPr>
        <w:t>أ</w:t>
      </w:r>
      <w:r w:rsidR="001E19A9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ت علمی شناخته شده و مراتب به رئیس دانشگاه اعلام خواهد شد تا با وی برابر مقررات مربوط (موضوع ماده</w:t>
      </w:r>
      <w:r w:rsidR="000B6671">
        <w:rPr>
          <w:rFonts w:ascii="Tahoma" w:eastAsia="Times New Roman" w:hAnsi="Tahoma" w:cs="B Nazanin" w:hint="cs"/>
          <w:color w:val="auto"/>
          <w:sz w:val="27"/>
          <w:szCs w:val="27"/>
          <w:rtl/>
        </w:rPr>
        <w:t>‌ی</w:t>
      </w:r>
      <w:r w:rsidR="001E19A9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119 </w:t>
      </w:r>
      <w:r w:rsidR="00053786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آئین‌نامه</w:t>
      </w:r>
      <w:r w:rsidR="000B6671">
        <w:rPr>
          <w:rFonts w:ascii="Tahoma" w:eastAsia="Times New Roman" w:hAnsi="Tahoma" w:cs="B Nazanin" w:hint="cs"/>
          <w:color w:val="auto"/>
          <w:sz w:val="27"/>
          <w:szCs w:val="27"/>
          <w:rtl/>
        </w:rPr>
        <w:t>‌ی</w:t>
      </w:r>
      <w:r w:rsidR="00053786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1E19A9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استخدامی اعضای هی</w:t>
      </w:r>
      <w:r w:rsidR="000B6671">
        <w:rPr>
          <w:rFonts w:ascii="Tahoma" w:eastAsia="Times New Roman" w:hAnsi="Tahoma" w:cs="B Nazanin" w:hint="cs"/>
          <w:color w:val="auto"/>
          <w:sz w:val="27"/>
          <w:szCs w:val="27"/>
          <w:rtl/>
        </w:rPr>
        <w:t>أ</w:t>
      </w:r>
      <w:r w:rsidR="001E19A9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ت علمی دانشگاه‌ها و م</w:t>
      </w:r>
      <w:r w:rsidR="000B6671">
        <w:rPr>
          <w:rFonts w:ascii="Tahoma" w:eastAsia="Times New Roman" w:hAnsi="Tahoma" w:cs="B Nazanin" w:hint="cs"/>
          <w:color w:val="auto"/>
          <w:sz w:val="27"/>
          <w:szCs w:val="27"/>
          <w:rtl/>
        </w:rPr>
        <w:t>ؤ</w:t>
      </w:r>
      <w:r w:rsidR="001E19A9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سسات آموزش عالی) رفتار </w:t>
      </w:r>
      <w:r w:rsidR="00053786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شود</w:t>
      </w:r>
      <w:r w:rsidR="001E19A9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.</w:t>
      </w:r>
      <w:r w:rsidR="00483E1F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</w:p>
    <w:p w:rsidR="00053786" w:rsidRDefault="00053786" w:rsidP="00483E1F">
      <w:pPr>
        <w:bidi/>
        <w:spacing w:line="240" w:lineRule="auto"/>
        <w:ind w:left="720" w:hanging="720"/>
        <w:rPr>
          <w:rFonts w:ascii="Tahoma" w:eastAsia="Times New Roman" w:hAnsi="Tahoma" w:cs="B Nazanin"/>
          <w:color w:val="auto"/>
          <w:sz w:val="27"/>
          <w:szCs w:val="27"/>
          <w:rtl/>
        </w:rPr>
      </w:pPr>
      <w:r w:rsidRPr="008F51D3">
        <w:rPr>
          <w:rFonts w:ascii="Tahoma" w:eastAsia="Times New Roman" w:hAnsi="Tahoma" w:cs="B Nazanin" w:hint="cs"/>
          <w:b/>
          <w:bCs/>
          <w:color w:val="auto"/>
          <w:sz w:val="28"/>
          <w:rtl/>
          <w:lang w:bidi="fa-IR"/>
        </w:rPr>
        <w:t>ماده7</w:t>
      </w:r>
      <w:r w:rsidRPr="008F51D3">
        <w:rPr>
          <w:rFonts w:ascii="Tahoma" w:eastAsia="Times New Roman" w:hAnsi="Tahoma" w:cs="B Nazanin" w:hint="cs"/>
          <w:b/>
          <w:bCs/>
          <w:color w:val="auto"/>
          <w:sz w:val="28"/>
          <w:rtl/>
        </w:rPr>
        <w:t>)</w:t>
      </w:r>
      <w:r w:rsidRPr="008F51D3">
        <w:rPr>
          <w:rFonts w:ascii="Tahoma" w:eastAsia="Times New Roman" w:hAnsi="Tahoma" w:cs="B Nazanin" w:hint="cs"/>
          <w:b/>
          <w:bCs/>
          <w:color w:val="auto"/>
          <w:sz w:val="27"/>
          <w:szCs w:val="27"/>
          <w:rtl/>
        </w:rPr>
        <w:t xml:space="preserve">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سایر موارد و مقررات مندرج در آئین‌نامه‌ی اعطای ترفیع و دستورالعمل مصوب وزارت علوم، تحقیقات و فناوری مورخ 3/12/77 به قوت خود باقی است.</w:t>
      </w:r>
      <w:r w:rsidR="00A576DB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از تاریخ تأیید این مصوبات در هیأت ممیزه و</w:t>
      </w:r>
      <w:r w:rsidR="00483E1F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شورای دانشگاه، فرم جدید اعطای ترفیع جایگزین خواهد شد و فرم‌های قبلی ابطال</w:t>
      </w:r>
      <w:r w:rsidR="00483E1F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می‌</w:t>
      </w: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گردد.</w:t>
      </w:r>
    </w:p>
    <w:p w:rsidR="008F51D3" w:rsidRPr="008F51D3" w:rsidRDefault="008F51D3" w:rsidP="008F51D3">
      <w:pPr>
        <w:bidi/>
        <w:spacing w:line="240" w:lineRule="auto"/>
        <w:ind w:left="720" w:hanging="720"/>
        <w:rPr>
          <w:rFonts w:ascii="Tahoma" w:eastAsia="Times New Roman" w:hAnsi="Tahoma" w:cs="B Nazanin"/>
          <w:color w:val="auto"/>
          <w:sz w:val="27"/>
          <w:szCs w:val="27"/>
          <w:rtl/>
        </w:rPr>
      </w:pPr>
    </w:p>
    <w:p w:rsidR="00F669B4" w:rsidRDefault="005F42D6" w:rsidP="00D90530">
      <w:pPr>
        <w:pStyle w:val="ListParagraph"/>
        <w:numPr>
          <w:ilvl w:val="0"/>
          <w:numId w:val="28"/>
        </w:numPr>
        <w:bidi/>
        <w:spacing w:line="240" w:lineRule="auto"/>
        <w:rPr>
          <w:rFonts w:ascii="Tahoma" w:eastAsia="Times New Roman" w:hAnsi="Tahoma" w:cs="B Nazanin"/>
          <w:color w:val="auto"/>
          <w:sz w:val="27"/>
          <w:szCs w:val="27"/>
        </w:rPr>
      </w:pPr>
      <w:r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این </w:t>
      </w:r>
      <w:r w:rsidR="00796B6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اصلاحیه</w:t>
      </w:r>
      <w:r w:rsidR="00D90530">
        <w:rPr>
          <w:rFonts w:ascii="Tahoma" w:eastAsia="Times New Roman" w:hAnsi="Tahoma" w:cs="B Nazanin" w:hint="cs"/>
          <w:color w:val="auto"/>
          <w:sz w:val="27"/>
          <w:szCs w:val="27"/>
          <w:rtl/>
        </w:rPr>
        <w:t>‌</w:t>
      </w:r>
      <w:r w:rsidR="00E97A53" w:rsidRPr="008F51D3">
        <w:rPr>
          <w:rFonts w:ascii="Tahoma" w:eastAsia="Times New Roman" w:hAnsi="Tahoma" w:cs="B Nazanin"/>
          <w:color w:val="auto"/>
          <w:sz w:val="27"/>
          <w:szCs w:val="27"/>
          <w:rtl/>
        </w:rPr>
        <w:t>در</w:t>
      </w:r>
      <w:r w:rsidR="00D90530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</w:t>
      </w:r>
      <w:r w:rsidR="00F05D5E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جلسه مورخ</w:t>
      </w:r>
      <w:r w:rsidR="00685755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17/09/1395</w:t>
      </w:r>
      <w:r w:rsidR="004D44B1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دانشگاه </w:t>
      </w:r>
      <w:r w:rsidR="00796B6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مطرح و به تأیید رسید</w:t>
      </w:r>
      <w:r w:rsidR="004D44B1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 xml:space="preserve"> و از تاریخ </w:t>
      </w:r>
      <w:r w:rsidR="00796B67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ابلاغ</w:t>
      </w:r>
      <w:r w:rsidR="00E97A53" w:rsidRPr="008F51D3">
        <w:rPr>
          <w:rFonts w:ascii="Tahoma" w:eastAsia="Times New Roman" w:hAnsi="Tahoma" w:cs="B Nazanin"/>
          <w:color w:val="auto"/>
          <w:sz w:val="27"/>
          <w:szCs w:val="27"/>
          <w:rtl/>
        </w:rPr>
        <w:t xml:space="preserve"> لازم‌ الاجرا </w:t>
      </w:r>
      <w:r w:rsidR="00241413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است</w:t>
      </w:r>
      <w:r w:rsidR="00453BCA" w:rsidRPr="008F51D3">
        <w:rPr>
          <w:rFonts w:ascii="Tahoma" w:eastAsia="Times New Roman" w:hAnsi="Tahoma" w:cs="B Nazanin" w:hint="cs"/>
          <w:color w:val="auto"/>
          <w:sz w:val="27"/>
          <w:szCs w:val="27"/>
          <w:rtl/>
        </w:rPr>
        <w:t>.</w:t>
      </w:r>
    </w:p>
    <w:sectPr w:rsidR="00F669B4" w:rsidSect="00D90530">
      <w:pgSz w:w="12240" w:h="15840" w:code="1"/>
      <w:pgMar w:top="1701" w:right="1440" w:bottom="1418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7BEC"/>
    <w:multiLevelType w:val="multilevel"/>
    <w:tmpl w:val="BECC3C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">
    <w:nsid w:val="08DF02F9"/>
    <w:multiLevelType w:val="multilevel"/>
    <w:tmpl w:val="6A166D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951210F"/>
    <w:multiLevelType w:val="multilevel"/>
    <w:tmpl w:val="786C5A32"/>
    <w:lvl w:ilvl="0">
      <w:start w:val="4"/>
      <w:numFmt w:val="decimal"/>
      <w:lvlText w:val="%1"/>
      <w:lvlJc w:val="left"/>
      <w:pPr>
        <w:ind w:left="360" w:hanging="360"/>
      </w:pPr>
      <w:rPr>
        <w:rFonts w:cs="B Nazanin"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cs="B Nazanin" w:hint="default"/>
        <w:b/>
        <w:bCs w:val="0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cs="B Nazanin" w:hint="default"/>
        <w:b w:val="0"/>
      </w:rPr>
    </w:lvl>
    <w:lvl w:ilvl="3">
      <w:start w:val="1"/>
      <w:numFmt w:val="decimal"/>
      <w:lvlText w:val="%1.%2.%3.%4"/>
      <w:lvlJc w:val="left"/>
      <w:pPr>
        <w:ind w:left="3141" w:hanging="1440"/>
      </w:pPr>
      <w:rPr>
        <w:rFonts w:cs="B Nazanin" w:hint="default"/>
        <w:b w:val="0"/>
      </w:rPr>
    </w:lvl>
    <w:lvl w:ilvl="4">
      <w:start w:val="1"/>
      <w:numFmt w:val="decimal"/>
      <w:lvlText w:val="%1.%2.%3.%4.%5"/>
      <w:lvlJc w:val="left"/>
      <w:pPr>
        <w:ind w:left="4068" w:hanging="1800"/>
      </w:pPr>
      <w:rPr>
        <w:rFonts w:cs="B Nazanin" w:hint="default"/>
        <w:b w:val="0"/>
      </w:rPr>
    </w:lvl>
    <w:lvl w:ilvl="5">
      <w:start w:val="1"/>
      <w:numFmt w:val="decimal"/>
      <w:lvlText w:val="%1.%2.%3.%4.%5.%6"/>
      <w:lvlJc w:val="left"/>
      <w:pPr>
        <w:ind w:left="4995" w:hanging="2160"/>
      </w:pPr>
      <w:rPr>
        <w:rFonts w:cs="B Nazanin" w:hint="default"/>
        <w:b w:val="0"/>
      </w:rPr>
    </w:lvl>
    <w:lvl w:ilvl="6">
      <w:start w:val="1"/>
      <w:numFmt w:val="decimal"/>
      <w:lvlText w:val="%1.%2.%3.%4.%5.%6.%7"/>
      <w:lvlJc w:val="left"/>
      <w:pPr>
        <w:ind w:left="5922" w:hanging="2520"/>
      </w:pPr>
      <w:rPr>
        <w:rFonts w:cs="B Nazanin" w:hint="default"/>
        <w:b w:val="0"/>
      </w:rPr>
    </w:lvl>
    <w:lvl w:ilvl="7">
      <w:start w:val="1"/>
      <w:numFmt w:val="decimal"/>
      <w:lvlText w:val="%1.%2.%3.%4.%5.%6.%7.%8"/>
      <w:lvlJc w:val="left"/>
      <w:pPr>
        <w:ind w:left="6849" w:hanging="2880"/>
      </w:pPr>
      <w:rPr>
        <w:rFonts w:cs="B Nazani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3240"/>
      </w:pPr>
      <w:rPr>
        <w:rFonts w:cs="B Nazanin" w:hint="default"/>
        <w:b w:val="0"/>
      </w:rPr>
    </w:lvl>
  </w:abstractNum>
  <w:abstractNum w:abstractNumId="3">
    <w:nsid w:val="0F9E641E"/>
    <w:multiLevelType w:val="hybridMultilevel"/>
    <w:tmpl w:val="5EB6F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675F4C"/>
    <w:multiLevelType w:val="multilevel"/>
    <w:tmpl w:val="44642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  <w:b w:val="0"/>
      </w:rPr>
    </w:lvl>
  </w:abstractNum>
  <w:abstractNum w:abstractNumId="5">
    <w:nsid w:val="150929E3"/>
    <w:multiLevelType w:val="hybridMultilevel"/>
    <w:tmpl w:val="D6981C58"/>
    <w:lvl w:ilvl="0" w:tplc="17A8D206">
      <w:numFmt w:val="bullet"/>
      <w:lvlText w:val="-"/>
      <w:lvlJc w:val="left"/>
      <w:pPr>
        <w:ind w:left="1070" w:hanging="360"/>
      </w:pPr>
      <w:rPr>
        <w:rFonts w:ascii="Tahoma" w:eastAsia="Times New Roman" w:hAnsi="Tahoma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C7801"/>
    <w:multiLevelType w:val="hybridMultilevel"/>
    <w:tmpl w:val="36166C8E"/>
    <w:lvl w:ilvl="0" w:tplc="263E878E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1353DD"/>
    <w:multiLevelType w:val="hybridMultilevel"/>
    <w:tmpl w:val="183E7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00CD"/>
    <w:multiLevelType w:val="multilevel"/>
    <w:tmpl w:val="44642F30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96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4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8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216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80" w:hanging="252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28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3240"/>
      </w:pPr>
      <w:rPr>
        <w:rFonts w:hint="default"/>
        <w:b w:val="0"/>
      </w:rPr>
    </w:lvl>
  </w:abstractNum>
  <w:abstractNum w:abstractNumId="9">
    <w:nsid w:val="278A05FE"/>
    <w:multiLevelType w:val="hybridMultilevel"/>
    <w:tmpl w:val="2148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80FE6"/>
    <w:multiLevelType w:val="multilevel"/>
    <w:tmpl w:val="44642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  <w:b w:val="0"/>
      </w:rPr>
    </w:lvl>
  </w:abstractNum>
  <w:abstractNum w:abstractNumId="11">
    <w:nsid w:val="30736508"/>
    <w:multiLevelType w:val="hybridMultilevel"/>
    <w:tmpl w:val="9B1280DE"/>
    <w:lvl w:ilvl="0" w:tplc="EB9208CA">
      <w:start w:val="1"/>
      <w:numFmt w:val="decimal"/>
      <w:lvlText w:val="%1-"/>
      <w:lvlJc w:val="left"/>
      <w:pPr>
        <w:ind w:left="555" w:hanging="360"/>
      </w:pPr>
      <w:rPr>
        <w:rFonts w:cs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33365758"/>
    <w:multiLevelType w:val="hybridMultilevel"/>
    <w:tmpl w:val="4C42F6A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9634B5"/>
    <w:multiLevelType w:val="multilevel"/>
    <w:tmpl w:val="BECC3C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4">
    <w:nsid w:val="3987400A"/>
    <w:multiLevelType w:val="hybridMultilevel"/>
    <w:tmpl w:val="04C8E0F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F205CA6"/>
    <w:multiLevelType w:val="multilevel"/>
    <w:tmpl w:val="1A22FA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5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5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1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880"/>
      </w:pPr>
      <w:rPr>
        <w:rFonts w:hint="default"/>
      </w:rPr>
    </w:lvl>
  </w:abstractNum>
  <w:abstractNum w:abstractNumId="16">
    <w:nsid w:val="401E0774"/>
    <w:multiLevelType w:val="multilevel"/>
    <w:tmpl w:val="44642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  <w:b w:val="0"/>
      </w:rPr>
    </w:lvl>
  </w:abstractNum>
  <w:abstractNum w:abstractNumId="17">
    <w:nsid w:val="421573DF"/>
    <w:multiLevelType w:val="hybridMultilevel"/>
    <w:tmpl w:val="97AC2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92A2D"/>
    <w:multiLevelType w:val="hybridMultilevel"/>
    <w:tmpl w:val="5FD04D7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A5B5A3A"/>
    <w:multiLevelType w:val="hybridMultilevel"/>
    <w:tmpl w:val="66AC69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83646F"/>
    <w:multiLevelType w:val="multilevel"/>
    <w:tmpl w:val="95685C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57EE102E"/>
    <w:multiLevelType w:val="multilevel"/>
    <w:tmpl w:val="E1365906"/>
    <w:lvl w:ilvl="0">
      <w:start w:val="4"/>
      <w:numFmt w:val="decimal"/>
      <w:lvlText w:val="%1"/>
      <w:lvlJc w:val="left"/>
      <w:pPr>
        <w:ind w:left="360" w:hanging="360"/>
      </w:pPr>
      <w:rPr>
        <w:rFonts w:cs="B Nazanin"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cs="B Nazanin" w:hint="default"/>
        <w:b w:val="0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cs="B Nazanin" w:hint="default"/>
        <w:b w:val="0"/>
      </w:rPr>
    </w:lvl>
    <w:lvl w:ilvl="3">
      <w:start w:val="1"/>
      <w:numFmt w:val="decimal"/>
      <w:lvlText w:val="%1.%2.%3.%4"/>
      <w:lvlJc w:val="left"/>
      <w:pPr>
        <w:ind w:left="3141" w:hanging="1440"/>
      </w:pPr>
      <w:rPr>
        <w:rFonts w:cs="B Nazanin" w:hint="default"/>
        <w:b w:val="0"/>
      </w:rPr>
    </w:lvl>
    <w:lvl w:ilvl="4">
      <w:start w:val="1"/>
      <w:numFmt w:val="decimal"/>
      <w:lvlText w:val="%1.%2.%3.%4.%5"/>
      <w:lvlJc w:val="left"/>
      <w:pPr>
        <w:ind w:left="4068" w:hanging="1800"/>
      </w:pPr>
      <w:rPr>
        <w:rFonts w:cs="B Nazanin" w:hint="default"/>
        <w:b w:val="0"/>
      </w:rPr>
    </w:lvl>
    <w:lvl w:ilvl="5">
      <w:start w:val="1"/>
      <w:numFmt w:val="decimal"/>
      <w:lvlText w:val="%1.%2.%3.%4.%5.%6"/>
      <w:lvlJc w:val="left"/>
      <w:pPr>
        <w:ind w:left="4995" w:hanging="2160"/>
      </w:pPr>
      <w:rPr>
        <w:rFonts w:cs="B Nazanin" w:hint="default"/>
        <w:b w:val="0"/>
      </w:rPr>
    </w:lvl>
    <w:lvl w:ilvl="6">
      <w:start w:val="1"/>
      <w:numFmt w:val="decimal"/>
      <w:lvlText w:val="%1.%2.%3.%4.%5.%6.%7"/>
      <w:lvlJc w:val="left"/>
      <w:pPr>
        <w:ind w:left="5922" w:hanging="2520"/>
      </w:pPr>
      <w:rPr>
        <w:rFonts w:cs="B Nazanin" w:hint="default"/>
        <w:b w:val="0"/>
      </w:rPr>
    </w:lvl>
    <w:lvl w:ilvl="7">
      <w:start w:val="1"/>
      <w:numFmt w:val="decimal"/>
      <w:lvlText w:val="%1.%2.%3.%4.%5.%6.%7.%8"/>
      <w:lvlJc w:val="left"/>
      <w:pPr>
        <w:ind w:left="6849" w:hanging="2880"/>
      </w:pPr>
      <w:rPr>
        <w:rFonts w:cs="B Nazani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3240"/>
      </w:pPr>
      <w:rPr>
        <w:rFonts w:cs="B Nazanin" w:hint="default"/>
        <w:b w:val="0"/>
      </w:rPr>
    </w:lvl>
  </w:abstractNum>
  <w:abstractNum w:abstractNumId="22">
    <w:nsid w:val="58335900"/>
    <w:multiLevelType w:val="hybridMultilevel"/>
    <w:tmpl w:val="182CC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175C11"/>
    <w:multiLevelType w:val="multilevel"/>
    <w:tmpl w:val="44642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  <w:b w:val="0"/>
      </w:rPr>
    </w:lvl>
  </w:abstractNum>
  <w:abstractNum w:abstractNumId="24">
    <w:nsid w:val="67393D4A"/>
    <w:multiLevelType w:val="multilevel"/>
    <w:tmpl w:val="E1F40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25">
    <w:nsid w:val="67B256B9"/>
    <w:multiLevelType w:val="multilevel"/>
    <w:tmpl w:val="8344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7276B7"/>
    <w:multiLevelType w:val="multilevel"/>
    <w:tmpl w:val="44642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  <w:b w:val="0"/>
      </w:rPr>
    </w:lvl>
  </w:abstractNum>
  <w:abstractNum w:abstractNumId="27">
    <w:nsid w:val="795741CB"/>
    <w:multiLevelType w:val="hybridMultilevel"/>
    <w:tmpl w:val="01545D46"/>
    <w:lvl w:ilvl="0" w:tplc="3E48E1E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C4D5A"/>
    <w:multiLevelType w:val="multilevel"/>
    <w:tmpl w:val="44642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27"/>
  </w:num>
  <w:num w:numId="4">
    <w:abstractNumId w:val="15"/>
  </w:num>
  <w:num w:numId="5">
    <w:abstractNumId w:val="11"/>
  </w:num>
  <w:num w:numId="6">
    <w:abstractNumId w:val="9"/>
  </w:num>
  <w:num w:numId="7">
    <w:abstractNumId w:val="7"/>
  </w:num>
  <w:num w:numId="8">
    <w:abstractNumId w:val="0"/>
  </w:num>
  <w:num w:numId="9">
    <w:abstractNumId w:val="13"/>
  </w:num>
  <w:num w:numId="10">
    <w:abstractNumId w:val="16"/>
  </w:num>
  <w:num w:numId="11">
    <w:abstractNumId w:val="8"/>
  </w:num>
  <w:num w:numId="12">
    <w:abstractNumId w:val="10"/>
  </w:num>
  <w:num w:numId="13">
    <w:abstractNumId w:val="4"/>
  </w:num>
  <w:num w:numId="14">
    <w:abstractNumId w:val="28"/>
  </w:num>
  <w:num w:numId="15">
    <w:abstractNumId w:val="26"/>
  </w:num>
  <w:num w:numId="16">
    <w:abstractNumId w:val="17"/>
  </w:num>
  <w:num w:numId="17">
    <w:abstractNumId w:val="23"/>
  </w:num>
  <w:num w:numId="18">
    <w:abstractNumId w:val="20"/>
  </w:num>
  <w:num w:numId="19">
    <w:abstractNumId w:val="24"/>
  </w:num>
  <w:num w:numId="20">
    <w:abstractNumId w:val="2"/>
  </w:num>
  <w:num w:numId="21">
    <w:abstractNumId w:val="18"/>
  </w:num>
  <w:num w:numId="22">
    <w:abstractNumId w:val="21"/>
  </w:num>
  <w:num w:numId="23">
    <w:abstractNumId w:val="14"/>
  </w:num>
  <w:num w:numId="24">
    <w:abstractNumId w:val="12"/>
  </w:num>
  <w:num w:numId="25">
    <w:abstractNumId w:val="22"/>
  </w:num>
  <w:num w:numId="26">
    <w:abstractNumId w:val="19"/>
  </w:num>
  <w:num w:numId="27">
    <w:abstractNumId w:val="1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7A53"/>
    <w:rsid w:val="00003BD1"/>
    <w:rsid w:val="00017ED2"/>
    <w:rsid w:val="00020463"/>
    <w:rsid w:val="00034797"/>
    <w:rsid w:val="00041CBE"/>
    <w:rsid w:val="000443FD"/>
    <w:rsid w:val="00050A6C"/>
    <w:rsid w:val="00053786"/>
    <w:rsid w:val="00053ADA"/>
    <w:rsid w:val="00065585"/>
    <w:rsid w:val="0007032E"/>
    <w:rsid w:val="000742E0"/>
    <w:rsid w:val="000772EE"/>
    <w:rsid w:val="0009094D"/>
    <w:rsid w:val="00097E4D"/>
    <w:rsid w:val="000A51DB"/>
    <w:rsid w:val="000B54FE"/>
    <w:rsid w:val="000B6671"/>
    <w:rsid w:val="000B69D0"/>
    <w:rsid w:val="000C71DB"/>
    <w:rsid w:val="000E4664"/>
    <w:rsid w:val="000F0FFD"/>
    <w:rsid w:val="000F497B"/>
    <w:rsid w:val="000F4BE2"/>
    <w:rsid w:val="00110661"/>
    <w:rsid w:val="00122911"/>
    <w:rsid w:val="00134E49"/>
    <w:rsid w:val="00140B88"/>
    <w:rsid w:val="001442AE"/>
    <w:rsid w:val="00155225"/>
    <w:rsid w:val="00161EC4"/>
    <w:rsid w:val="0017173C"/>
    <w:rsid w:val="00186A6B"/>
    <w:rsid w:val="001A39E9"/>
    <w:rsid w:val="001B1669"/>
    <w:rsid w:val="001B39A4"/>
    <w:rsid w:val="001C5D3B"/>
    <w:rsid w:val="001E19A9"/>
    <w:rsid w:val="001E5E33"/>
    <w:rsid w:val="001E613E"/>
    <w:rsid w:val="001E7E1E"/>
    <w:rsid w:val="001F24C6"/>
    <w:rsid w:val="001F444D"/>
    <w:rsid w:val="001F5977"/>
    <w:rsid w:val="00207BDB"/>
    <w:rsid w:val="00227701"/>
    <w:rsid w:val="00236329"/>
    <w:rsid w:val="00236AAB"/>
    <w:rsid w:val="00241413"/>
    <w:rsid w:val="0024335E"/>
    <w:rsid w:val="002529A2"/>
    <w:rsid w:val="00253AF1"/>
    <w:rsid w:val="00262018"/>
    <w:rsid w:val="00263CE7"/>
    <w:rsid w:val="00265C07"/>
    <w:rsid w:val="002A4EB5"/>
    <w:rsid w:val="002A6C8D"/>
    <w:rsid w:val="002D0CB3"/>
    <w:rsid w:val="002E417C"/>
    <w:rsid w:val="00306511"/>
    <w:rsid w:val="00326636"/>
    <w:rsid w:val="00336456"/>
    <w:rsid w:val="00347AF5"/>
    <w:rsid w:val="00354EBB"/>
    <w:rsid w:val="00356188"/>
    <w:rsid w:val="003629B3"/>
    <w:rsid w:val="00380F20"/>
    <w:rsid w:val="003A2D36"/>
    <w:rsid w:val="003A4286"/>
    <w:rsid w:val="003A7FCE"/>
    <w:rsid w:val="003B5039"/>
    <w:rsid w:val="003C1D75"/>
    <w:rsid w:val="003D7F40"/>
    <w:rsid w:val="003E0682"/>
    <w:rsid w:val="003F5017"/>
    <w:rsid w:val="00443F47"/>
    <w:rsid w:val="00451039"/>
    <w:rsid w:val="00453BCA"/>
    <w:rsid w:val="00460C59"/>
    <w:rsid w:val="004660B1"/>
    <w:rsid w:val="00466B43"/>
    <w:rsid w:val="00472AF6"/>
    <w:rsid w:val="00483E1F"/>
    <w:rsid w:val="004857CE"/>
    <w:rsid w:val="00492C16"/>
    <w:rsid w:val="00495424"/>
    <w:rsid w:val="004A523B"/>
    <w:rsid w:val="004A565C"/>
    <w:rsid w:val="004D44B1"/>
    <w:rsid w:val="004D4BC0"/>
    <w:rsid w:val="004D7D3B"/>
    <w:rsid w:val="004E7969"/>
    <w:rsid w:val="004F4C2D"/>
    <w:rsid w:val="005146A7"/>
    <w:rsid w:val="0052123D"/>
    <w:rsid w:val="00523F6B"/>
    <w:rsid w:val="005272D5"/>
    <w:rsid w:val="00536739"/>
    <w:rsid w:val="0055230E"/>
    <w:rsid w:val="005603D5"/>
    <w:rsid w:val="00567041"/>
    <w:rsid w:val="005678DB"/>
    <w:rsid w:val="00573FF8"/>
    <w:rsid w:val="005B444C"/>
    <w:rsid w:val="005D1683"/>
    <w:rsid w:val="005E70B5"/>
    <w:rsid w:val="005F42D6"/>
    <w:rsid w:val="005F7191"/>
    <w:rsid w:val="006453BC"/>
    <w:rsid w:val="00645CB8"/>
    <w:rsid w:val="00661087"/>
    <w:rsid w:val="00664C1E"/>
    <w:rsid w:val="0066625D"/>
    <w:rsid w:val="006725EC"/>
    <w:rsid w:val="0068073C"/>
    <w:rsid w:val="00685755"/>
    <w:rsid w:val="00694BB6"/>
    <w:rsid w:val="0069791D"/>
    <w:rsid w:val="006A0C05"/>
    <w:rsid w:val="006A6BB7"/>
    <w:rsid w:val="006B1F5A"/>
    <w:rsid w:val="006C0892"/>
    <w:rsid w:val="006C533A"/>
    <w:rsid w:val="00703E31"/>
    <w:rsid w:val="00711632"/>
    <w:rsid w:val="007255D9"/>
    <w:rsid w:val="007262F3"/>
    <w:rsid w:val="00727AE4"/>
    <w:rsid w:val="007534D6"/>
    <w:rsid w:val="00761931"/>
    <w:rsid w:val="00775ED2"/>
    <w:rsid w:val="00796B67"/>
    <w:rsid w:val="007C76D5"/>
    <w:rsid w:val="007D0383"/>
    <w:rsid w:val="007D0775"/>
    <w:rsid w:val="007D086E"/>
    <w:rsid w:val="007E16DF"/>
    <w:rsid w:val="007E18F9"/>
    <w:rsid w:val="00807E34"/>
    <w:rsid w:val="00821C7A"/>
    <w:rsid w:val="00837D83"/>
    <w:rsid w:val="008731D5"/>
    <w:rsid w:val="00886905"/>
    <w:rsid w:val="00892897"/>
    <w:rsid w:val="008B5573"/>
    <w:rsid w:val="008C07AF"/>
    <w:rsid w:val="008D2017"/>
    <w:rsid w:val="008D6FAB"/>
    <w:rsid w:val="008E33FA"/>
    <w:rsid w:val="008F1B45"/>
    <w:rsid w:val="008F51D3"/>
    <w:rsid w:val="00906DCC"/>
    <w:rsid w:val="00912D31"/>
    <w:rsid w:val="00925D53"/>
    <w:rsid w:val="00941EEB"/>
    <w:rsid w:val="0096312E"/>
    <w:rsid w:val="00965D97"/>
    <w:rsid w:val="009760DD"/>
    <w:rsid w:val="009903B5"/>
    <w:rsid w:val="00991080"/>
    <w:rsid w:val="0099345E"/>
    <w:rsid w:val="00995EC8"/>
    <w:rsid w:val="009B2F11"/>
    <w:rsid w:val="009C1A2C"/>
    <w:rsid w:val="00A01B38"/>
    <w:rsid w:val="00A27BCB"/>
    <w:rsid w:val="00A576DB"/>
    <w:rsid w:val="00A57BE0"/>
    <w:rsid w:val="00A65F17"/>
    <w:rsid w:val="00A71F3C"/>
    <w:rsid w:val="00A8468A"/>
    <w:rsid w:val="00A84FF1"/>
    <w:rsid w:val="00A87F3C"/>
    <w:rsid w:val="00A917BD"/>
    <w:rsid w:val="00AA0E91"/>
    <w:rsid w:val="00AB14D6"/>
    <w:rsid w:val="00AB2424"/>
    <w:rsid w:val="00AB76AD"/>
    <w:rsid w:val="00AB7DB4"/>
    <w:rsid w:val="00AC5F41"/>
    <w:rsid w:val="00AE2EA9"/>
    <w:rsid w:val="00B104FE"/>
    <w:rsid w:val="00B50229"/>
    <w:rsid w:val="00B5511C"/>
    <w:rsid w:val="00B80927"/>
    <w:rsid w:val="00B953B3"/>
    <w:rsid w:val="00BA2CFE"/>
    <w:rsid w:val="00BB58F1"/>
    <w:rsid w:val="00BD2DCF"/>
    <w:rsid w:val="00BD2E44"/>
    <w:rsid w:val="00BE5E01"/>
    <w:rsid w:val="00BF4DDE"/>
    <w:rsid w:val="00C011DE"/>
    <w:rsid w:val="00C059EA"/>
    <w:rsid w:val="00C152BD"/>
    <w:rsid w:val="00C34F1D"/>
    <w:rsid w:val="00C41325"/>
    <w:rsid w:val="00C577E3"/>
    <w:rsid w:val="00C82AD0"/>
    <w:rsid w:val="00C93878"/>
    <w:rsid w:val="00CA2CEE"/>
    <w:rsid w:val="00CA68FF"/>
    <w:rsid w:val="00CB340C"/>
    <w:rsid w:val="00CB3E2F"/>
    <w:rsid w:val="00CB562E"/>
    <w:rsid w:val="00CB7EC2"/>
    <w:rsid w:val="00CD1E34"/>
    <w:rsid w:val="00CD6777"/>
    <w:rsid w:val="00CE218D"/>
    <w:rsid w:val="00D100F3"/>
    <w:rsid w:val="00D4070B"/>
    <w:rsid w:val="00D540F6"/>
    <w:rsid w:val="00D66F80"/>
    <w:rsid w:val="00D90530"/>
    <w:rsid w:val="00D961D6"/>
    <w:rsid w:val="00DB3C7A"/>
    <w:rsid w:val="00DE1E34"/>
    <w:rsid w:val="00DE4216"/>
    <w:rsid w:val="00DF1A2B"/>
    <w:rsid w:val="00E05D3F"/>
    <w:rsid w:val="00E456E6"/>
    <w:rsid w:val="00E62821"/>
    <w:rsid w:val="00E64345"/>
    <w:rsid w:val="00E74ED5"/>
    <w:rsid w:val="00E93958"/>
    <w:rsid w:val="00E97A53"/>
    <w:rsid w:val="00EC335C"/>
    <w:rsid w:val="00EF6DAB"/>
    <w:rsid w:val="00F00684"/>
    <w:rsid w:val="00F05D5E"/>
    <w:rsid w:val="00F514AB"/>
    <w:rsid w:val="00F52626"/>
    <w:rsid w:val="00F6329C"/>
    <w:rsid w:val="00F669B4"/>
    <w:rsid w:val="00F779E9"/>
    <w:rsid w:val="00F801DD"/>
    <w:rsid w:val="00F905EC"/>
    <w:rsid w:val="00F948D6"/>
    <w:rsid w:val="00FA2C0E"/>
    <w:rsid w:val="00FA7DD3"/>
    <w:rsid w:val="00FB33C7"/>
    <w:rsid w:val="00FB398C"/>
    <w:rsid w:val="00FB5B72"/>
    <w:rsid w:val="00FC2C73"/>
    <w:rsid w:val="00FC40F3"/>
    <w:rsid w:val="00FC4BB1"/>
    <w:rsid w:val="00FD2CC8"/>
    <w:rsid w:val="00FD78F2"/>
    <w:rsid w:val="00FF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A7398D-7FB2-4AB6-B523-2F4B2F14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Zar"/>
        <w:color w:val="E36C0A" w:themeColor="accent6" w:themeShade="BF"/>
        <w:sz w:val="22"/>
        <w:szCs w:val="28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E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97A5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7A53"/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99345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A2C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D4BC0"/>
    <w:rPr>
      <w:b/>
      <w:bCs/>
    </w:rPr>
  </w:style>
  <w:style w:type="character" w:customStyle="1" w:styleId="apple-converted-space">
    <w:name w:val="apple-converted-space"/>
    <w:basedOn w:val="DefaultParagraphFont"/>
    <w:rsid w:val="004D4BC0"/>
  </w:style>
  <w:style w:type="character" w:styleId="Hyperlink">
    <w:name w:val="Hyperlink"/>
    <w:basedOn w:val="DefaultParagraphFont"/>
    <w:uiPriority w:val="99"/>
    <w:semiHidden/>
    <w:unhideWhenUsed/>
    <w:rsid w:val="004D4B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2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-science.thomsonreuters.com/cgi-bin/jrnlst/jloptions.cgi?PC=SS" TargetMode="External"/><Relationship Id="rId3" Type="http://schemas.openxmlformats.org/officeDocument/2006/relationships/styles" Target="styles.xml"/><Relationship Id="rId7" Type="http://schemas.openxmlformats.org/officeDocument/2006/relationships/hyperlink" Target="http://ip-science.thomsonreuters.com/cgi-bin/jrnlst/jloptions.cgi?PC=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p-science.thomsonreuters.com/cgi-bin/jrnlst/jloptions.cgi?PC=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p-science.thomsonreuters.com/cgi-bin/jrnlst/jloptions.cgi?PC=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03FC-6141-4BDE-B292-C849C1C6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Ashegh</dc:creator>
  <cp:lastModifiedBy>MrsDolatkhan</cp:lastModifiedBy>
  <cp:revision>37</cp:revision>
  <cp:lastPrinted>2016-12-08T05:39:00Z</cp:lastPrinted>
  <dcterms:created xsi:type="dcterms:W3CDTF">2015-12-27T05:45:00Z</dcterms:created>
  <dcterms:modified xsi:type="dcterms:W3CDTF">2016-12-21T09:40:00Z</dcterms:modified>
</cp:coreProperties>
</file>